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2E74B5" w:themeColor="accent1" w:themeShade="BF"/>
          <w:lang w:eastAsia="en-US"/>
        </w:rPr>
        <w:id w:val="1769188826"/>
        <w:docPartObj>
          <w:docPartGallery w:val="Cover Pages"/>
          <w:docPartUnique/>
        </w:docPartObj>
      </w:sdtPr>
      <w:sdtEndPr/>
      <w:sdtContent>
        <w:p w:rsidR="00731284" w:rsidRDefault="00731284">
          <w:pPr>
            <w:pStyle w:val="Sansinterligne"/>
            <w:spacing w:before="1540" w:after="240"/>
            <w:jc w:val="center"/>
            <w:rPr>
              <w:color w:val="2E74B5" w:themeColor="accent1" w:themeShade="BF"/>
            </w:rPr>
          </w:pPr>
        </w:p>
        <w:p w:rsidR="00731284" w:rsidRPr="00731284" w:rsidRDefault="00731284">
          <w:pPr>
            <w:pStyle w:val="Sansinterligne"/>
            <w:spacing w:before="1540" w:after="240"/>
            <w:jc w:val="center"/>
            <w:rPr>
              <w:color w:val="2E74B5" w:themeColor="accent1" w:themeShade="BF"/>
            </w:rPr>
          </w:pPr>
        </w:p>
        <w:sdt>
          <w:sdtPr>
            <w:rPr>
              <w:rFonts w:asciiTheme="majorHAnsi" w:eastAsiaTheme="majorEastAsia" w:hAnsiTheme="majorHAnsi" w:cstheme="majorBidi"/>
              <w:caps/>
              <w:color w:val="2E74B5" w:themeColor="accent1" w:themeShade="BF"/>
              <w:sz w:val="48"/>
              <w:szCs w:val="72"/>
            </w:rPr>
            <w:alias w:val="Titre"/>
            <w:tag w:val=""/>
            <w:id w:val="1735040861"/>
            <w:placeholder>
              <w:docPart w:val="3929C27008C34BF88158ED2EC687121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:rsidR="00731284" w:rsidRPr="00731284" w:rsidRDefault="003A7464">
              <w:pPr>
                <w:pStyle w:val="Sansinterligne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2E74B5" w:themeColor="accent1" w:themeShade="BF"/>
                  <w:sz w:val="52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2E74B5" w:themeColor="accent1" w:themeShade="BF"/>
                  <w:sz w:val="48"/>
                  <w:szCs w:val="72"/>
                </w:rPr>
                <w:t xml:space="preserve">Installation </w:t>
              </w:r>
              <w:r w:rsidR="00731284" w:rsidRPr="00731284">
                <w:rPr>
                  <w:rFonts w:asciiTheme="majorHAnsi" w:eastAsiaTheme="majorEastAsia" w:hAnsiTheme="majorHAnsi" w:cstheme="majorBidi"/>
                  <w:caps/>
                  <w:color w:val="2E74B5" w:themeColor="accent1" w:themeShade="BF"/>
                  <w:sz w:val="48"/>
                  <w:szCs w:val="72"/>
                </w:rPr>
                <w:t>de l’environnement</w:t>
              </w:r>
            </w:p>
          </w:sdtContent>
        </w:sdt>
        <w:sdt>
          <w:sdtPr>
            <w:rPr>
              <w:color w:val="2E74B5" w:themeColor="accent1" w:themeShade="BF"/>
              <w:szCs w:val="28"/>
            </w:rPr>
            <w:alias w:val="Sous-titre"/>
            <w:tag w:val=""/>
            <w:id w:val="328029620"/>
            <w:placeholder>
              <w:docPart w:val="808BB71D900B4530826F1E00D37553D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731284" w:rsidRPr="00731284" w:rsidRDefault="00731284">
              <w:pPr>
                <w:pStyle w:val="Sansinterligne"/>
                <w:jc w:val="center"/>
                <w:rPr>
                  <w:color w:val="2E74B5" w:themeColor="accent1" w:themeShade="BF"/>
                  <w:szCs w:val="28"/>
                </w:rPr>
              </w:pPr>
              <w:r w:rsidRPr="00731284">
                <w:rPr>
                  <w:color w:val="2E74B5" w:themeColor="accent1" w:themeShade="BF"/>
                  <w:szCs w:val="28"/>
                </w:rPr>
                <w:t>Stage Hyperviseur FPGA 202</w:t>
              </w:r>
              <w:r w:rsidR="003A7464">
                <w:rPr>
                  <w:color w:val="2E74B5" w:themeColor="accent1" w:themeShade="BF"/>
                  <w:szCs w:val="28"/>
                </w:rPr>
                <w:t>4</w:t>
              </w:r>
            </w:p>
          </w:sdtContent>
        </w:sdt>
        <w:p w:rsidR="00731284" w:rsidRPr="00731284" w:rsidRDefault="00731284">
          <w:pPr>
            <w:pStyle w:val="Sansinterligne"/>
            <w:spacing w:before="480"/>
            <w:jc w:val="center"/>
            <w:rPr>
              <w:color w:val="2E74B5" w:themeColor="accent1" w:themeShade="BF"/>
            </w:rPr>
          </w:pPr>
        </w:p>
        <w:p w:rsidR="00731284" w:rsidRDefault="00731284">
          <w:pPr>
            <w:rPr>
              <w:color w:val="2E74B5" w:themeColor="accent1" w:themeShade="BF"/>
            </w:rPr>
          </w:pPr>
        </w:p>
        <w:p w:rsidR="00731284" w:rsidRDefault="00731284">
          <w:pPr>
            <w:rPr>
              <w:color w:val="2E74B5" w:themeColor="accent1" w:themeShade="BF"/>
            </w:rPr>
          </w:pPr>
        </w:p>
        <w:p w:rsidR="00731284" w:rsidRDefault="00731284">
          <w:pPr>
            <w:rPr>
              <w:color w:val="2E74B5" w:themeColor="accent1" w:themeShade="BF"/>
            </w:rPr>
          </w:pPr>
        </w:p>
        <w:p w:rsidR="00731284" w:rsidRDefault="00731284">
          <w:pPr>
            <w:rPr>
              <w:color w:val="2E74B5" w:themeColor="accent1" w:themeShade="BF"/>
            </w:rPr>
          </w:pPr>
        </w:p>
        <w:p w:rsidR="00731284" w:rsidRDefault="00731284">
          <w:pPr>
            <w:rPr>
              <w:color w:val="2E74B5" w:themeColor="accent1" w:themeShade="BF"/>
            </w:rPr>
          </w:pPr>
        </w:p>
        <w:p w:rsidR="00731284" w:rsidRDefault="00731284">
          <w:pPr>
            <w:rPr>
              <w:color w:val="2E74B5" w:themeColor="accent1" w:themeShade="BF"/>
            </w:rPr>
          </w:pPr>
        </w:p>
        <w:p w:rsidR="00731284" w:rsidRDefault="00731284">
          <w:pPr>
            <w:rPr>
              <w:color w:val="2E74B5" w:themeColor="accent1" w:themeShade="BF"/>
            </w:rPr>
          </w:pPr>
        </w:p>
        <w:p w:rsidR="00731284" w:rsidRDefault="00731284">
          <w:pPr>
            <w:rPr>
              <w:color w:val="2E74B5" w:themeColor="accent1" w:themeShade="BF"/>
            </w:rPr>
          </w:pPr>
        </w:p>
        <w:p w:rsidR="00731284" w:rsidRDefault="00731284">
          <w:pPr>
            <w:rPr>
              <w:color w:val="2E74B5" w:themeColor="accent1" w:themeShade="BF"/>
            </w:rPr>
          </w:pPr>
        </w:p>
        <w:p w:rsidR="00731284" w:rsidRDefault="00731284">
          <w:pPr>
            <w:rPr>
              <w:color w:val="2E74B5" w:themeColor="accent1" w:themeShade="BF"/>
            </w:rPr>
          </w:pPr>
        </w:p>
        <w:p w:rsidR="00731284" w:rsidRDefault="00731284">
          <w:pPr>
            <w:rPr>
              <w:color w:val="2E74B5" w:themeColor="accent1" w:themeShade="BF"/>
            </w:rPr>
          </w:pPr>
        </w:p>
        <w:p w:rsidR="00731284" w:rsidRDefault="00731284">
          <w:pPr>
            <w:rPr>
              <w:color w:val="2E74B5" w:themeColor="accent1" w:themeShade="BF"/>
            </w:rPr>
          </w:pPr>
        </w:p>
        <w:p w:rsidR="00731284" w:rsidRDefault="00731284">
          <w:pPr>
            <w:rPr>
              <w:color w:val="2E74B5" w:themeColor="accent1" w:themeShade="BF"/>
            </w:rPr>
          </w:pPr>
        </w:p>
        <w:p w:rsidR="00731284" w:rsidRDefault="00731284">
          <w:pPr>
            <w:rPr>
              <w:color w:val="2E74B5" w:themeColor="accent1" w:themeShade="BF"/>
            </w:rPr>
          </w:pPr>
        </w:p>
        <w:p w:rsidR="00731284" w:rsidRDefault="00731284">
          <w:pPr>
            <w:rPr>
              <w:color w:val="2E74B5" w:themeColor="accent1" w:themeShade="BF"/>
            </w:rPr>
          </w:pPr>
        </w:p>
        <w:p w:rsidR="00731284" w:rsidRDefault="003A7464" w:rsidP="00731284">
          <w:pPr>
            <w:jc w:val="center"/>
          </w:pPr>
          <w:r>
            <w:t>Février 2024</w:t>
          </w:r>
        </w:p>
        <w:p w:rsidR="00731284" w:rsidRDefault="00731284" w:rsidP="00731284">
          <w:pPr>
            <w:jc w:val="center"/>
          </w:pPr>
          <w:r>
            <w:t>Novasys Ingénierie</w:t>
          </w:r>
        </w:p>
        <w:p w:rsidR="00731284" w:rsidRPr="00731284" w:rsidRDefault="003A7464" w:rsidP="00731284">
          <w:pPr>
            <w:jc w:val="center"/>
            <w:rPr>
              <w:color w:val="2E74B5" w:themeColor="accent1" w:themeShade="BF"/>
            </w:rPr>
          </w:pPr>
          <w:r>
            <w:t>Emeric DU GARDIN</w:t>
          </w:r>
        </w:p>
      </w:sdtContent>
    </w:sdt>
    <w:sdt>
      <w:sdtPr>
        <w:rPr>
          <w:rFonts w:asciiTheme="minorHAnsi" w:eastAsiaTheme="minorHAnsi" w:hAnsiTheme="minorHAnsi" w:cstheme="minorHAnsi"/>
          <w:b/>
          <w:color w:val="auto"/>
          <w:sz w:val="22"/>
          <w:szCs w:val="22"/>
          <w:lang w:eastAsia="en-US"/>
        </w:rPr>
        <w:id w:val="375120582"/>
        <w:docPartObj>
          <w:docPartGallery w:val="Table of Contents"/>
          <w:docPartUnique/>
        </w:docPartObj>
      </w:sdtPr>
      <w:sdtEndPr>
        <w:rPr>
          <w:rFonts w:cstheme="minorBidi"/>
          <w:bCs/>
        </w:rPr>
      </w:sdtEndPr>
      <w:sdtContent>
        <w:p w:rsidR="00731284" w:rsidRPr="00731284" w:rsidRDefault="00731284" w:rsidP="00731284">
          <w:pPr>
            <w:pStyle w:val="En-ttedetabledesmatires"/>
            <w:jc w:val="center"/>
            <w:rPr>
              <w:rFonts w:asciiTheme="minorHAnsi" w:hAnsiTheme="minorHAnsi" w:cstheme="minorHAnsi"/>
              <w:b/>
              <w:color w:val="auto"/>
            </w:rPr>
          </w:pPr>
          <w:r w:rsidRPr="00731284">
            <w:rPr>
              <w:rFonts w:asciiTheme="minorHAnsi" w:hAnsiTheme="minorHAnsi" w:cstheme="minorHAnsi"/>
              <w:b/>
              <w:color w:val="auto"/>
            </w:rPr>
            <w:t>Table des matières</w:t>
          </w:r>
        </w:p>
        <w:p w:rsidR="00944DAA" w:rsidRDefault="00731284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228766" w:history="1">
            <w:r w:rsidR="00944DAA" w:rsidRPr="008A4074">
              <w:rPr>
                <w:rStyle w:val="Lienhypertexte"/>
                <w:noProof/>
              </w:rPr>
              <w:t>I.</w:t>
            </w:r>
            <w:r w:rsidR="00944DAA">
              <w:rPr>
                <w:rFonts w:eastAsiaTheme="minorEastAsia"/>
                <w:noProof/>
                <w:lang w:eastAsia="fr-FR"/>
              </w:rPr>
              <w:tab/>
            </w:r>
            <w:r w:rsidR="00944DAA" w:rsidRPr="008A4074">
              <w:rPr>
                <w:rStyle w:val="Lienhypertexte"/>
                <w:noProof/>
              </w:rPr>
              <w:t>Compte et installeur</w:t>
            </w:r>
            <w:r w:rsidR="00944DAA">
              <w:rPr>
                <w:noProof/>
                <w:webHidden/>
              </w:rPr>
              <w:tab/>
            </w:r>
            <w:r w:rsidR="00944DAA">
              <w:rPr>
                <w:noProof/>
                <w:webHidden/>
              </w:rPr>
              <w:fldChar w:fldCharType="begin"/>
            </w:r>
            <w:r w:rsidR="00944DAA">
              <w:rPr>
                <w:noProof/>
                <w:webHidden/>
              </w:rPr>
              <w:instrText xml:space="preserve"> PAGEREF _Toc159228766 \h </w:instrText>
            </w:r>
            <w:r w:rsidR="00944DAA">
              <w:rPr>
                <w:noProof/>
                <w:webHidden/>
              </w:rPr>
            </w:r>
            <w:r w:rsidR="00944DAA">
              <w:rPr>
                <w:noProof/>
                <w:webHidden/>
              </w:rPr>
              <w:fldChar w:fldCharType="separate"/>
            </w:r>
            <w:r w:rsidR="00944DAA">
              <w:rPr>
                <w:noProof/>
                <w:webHidden/>
              </w:rPr>
              <w:t>2</w:t>
            </w:r>
            <w:r w:rsidR="00944DAA">
              <w:rPr>
                <w:noProof/>
                <w:webHidden/>
              </w:rPr>
              <w:fldChar w:fldCharType="end"/>
            </w:r>
          </w:hyperlink>
        </w:p>
        <w:p w:rsidR="00944DAA" w:rsidRDefault="00AE11D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59228767" w:history="1">
            <w:r w:rsidR="00944DAA" w:rsidRPr="008A4074">
              <w:rPr>
                <w:rStyle w:val="Lienhypertexte"/>
                <w:noProof/>
              </w:rPr>
              <w:t>II.</w:t>
            </w:r>
            <w:r w:rsidR="00944DAA">
              <w:rPr>
                <w:rFonts w:eastAsiaTheme="minorEastAsia"/>
                <w:noProof/>
                <w:lang w:eastAsia="fr-FR"/>
              </w:rPr>
              <w:tab/>
            </w:r>
            <w:r w:rsidR="00944DAA" w:rsidRPr="008A4074">
              <w:rPr>
                <w:rStyle w:val="Lienhypertexte"/>
                <w:noProof/>
              </w:rPr>
              <w:t>Installation</w:t>
            </w:r>
            <w:r w:rsidR="00944DAA">
              <w:rPr>
                <w:noProof/>
                <w:webHidden/>
              </w:rPr>
              <w:tab/>
            </w:r>
            <w:r w:rsidR="00944DAA">
              <w:rPr>
                <w:noProof/>
                <w:webHidden/>
              </w:rPr>
              <w:fldChar w:fldCharType="begin"/>
            </w:r>
            <w:r w:rsidR="00944DAA">
              <w:rPr>
                <w:noProof/>
                <w:webHidden/>
              </w:rPr>
              <w:instrText xml:space="preserve"> PAGEREF _Toc159228767 \h </w:instrText>
            </w:r>
            <w:r w:rsidR="00944DAA">
              <w:rPr>
                <w:noProof/>
                <w:webHidden/>
              </w:rPr>
            </w:r>
            <w:r w:rsidR="00944DAA">
              <w:rPr>
                <w:noProof/>
                <w:webHidden/>
              </w:rPr>
              <w:fldChar w:fldCharType="separate"/>
            </w:r>
            <w:r w:rsidR="00944DAA">
              <w:rPr>
                <w:noProof/>
                <w:webHidden/>
              </w:rPr>
              <w:t>3</w:t>
            </w:r>
            <w:r w:rsidR="00944DAA">
              <w:rPr>
                <w:noProof/>
                <w:webHidden/>
              </w:rPr>
              <w:fldChar w:fldCharType="end"/>
            </w:r>
          </w:hyperlink>
        </w:p>
        <w:p w:rsidR="00731284" w:rsidRDefault="00731284">
          <w:r>
            <w:rPr>
              <w:b/>
              <w:bCs/>
            </w:rPr>
            <w:fldChar w:fldCharType="end"/>
          </w:r>
        </w:p>
      </w:sdtContent>
    </w:sdt>
    <w:p w:rsidR="00731284" w:rsidRDefault="00731284">
      <w:pPr>
        <w:rPr>
          <w:rFonts w:eastAsiaTheme="minorEastAsia"/>
          <w:color w:val="2E74B5" w:themeColor="accent1" w:themeShade="BF"/>
          <w:spacing w:val="15"/>
        </w:rPr>
      </w:pPr>
      <w:r>
        <w:rPr>
          <w:color w:val="2E74B5" w:themeColor="accent1" w:themeShade="BF"/>
        </w:rPr>
        <w:br w:type="page"/>
      </w:r>
    </w:p>
    <w:p w:rsidR="006C71B1" w:rsidRDefault="003A7464" w:rsidP="006C71B1">
      <w:pPr>
        <w:pStyle w:val="Titre1"/>
        <w:numPr>
          <w:ilvl w:val="0"/>
          <w:numId w:val="5"/>
        </w:numPr>
      </w:pPr>
      <w:bookmarkStart w:id="0" w:name="_Toc159228766"/>
      <w:r>
        <w:lastRenderedPageBreak/>
        <w:t>Compte et installeur</w:t>
      </w:r>
      <w:bookmarkEnd w:id="0"/>
    </w:p>
    <w:p w:rsidR="006C71B1" w:rsidRDefault="003A7464" w:rsidP="006C71B1">
      <w:pPr>
        <w:pStyle w:val="Paragraphedeliste"/>
        <w:numPr>
          <w:ilvl w:val="0"/>
          <w:numId w:val="4"/>
        </w:numPr>
      </w:pPr>
      <w:r>
        <w:t xml:space="preserve">Aller sur </w:t>
      </w:r>
      <w:hyperlink r:id="rId7" w:history="1">
        <w:r w:rsidRPr="00F86A0C">
          <w:rPr>
            <w:rStyle w:val="Lienhypertexte"/>
          </w:rPr>
          <w:t>https://www.xilinx.com/support/download.html</w:t>
        </w:r>
      </w:hyperlink>
      <w:r>
        <w:t xml:space="preserve"> </w:t>
      </w:r>
      <w:r w:rsidR="006C71B1">
        <w:t>.</w:t>
      </w:r>
    </w:p>
    <w:p w:rsidR="006C71B1" w:rsidRPr="006C71B1" w:rsidRDefault="006C71B1" w:rsidP="006C71B1">
      <w:pPr>
        <w:pStyle w:val="Paragraphedeliste"/>
        <w:numPr>
          <w:ilvl w:val="0"/>
          <w:numId w:val="4"/>
        </w:numPr>
      </w:pPr>
      <w:r>
        <w:t>C</w:t>
      </w:r>
      <w:r w:rsidR="003A7464">
        <w:t xml:space="preserve">hoisir la version 2023.1 ML </w:t>
      </w:r>
      <w:r w:rsidR="00064A2F">
        <w:t>édition.</w:t>
      </w:r>
    </w:p>
    <w:p w:rsidR="006C71B1" w:rsidRPr="006C71B1" w:rsidRDefault="001E3D5B" w:rsidP="006C71B1">
      <w:r>
        <w:rPr>
          <w:noProof/>
        </w:rPr>
        <w:drawing>
          <wp:inline distT="0" distB="0" distL="0" distR="0">
            <wp:extent cx="4501618" cy="3120048"/>
            <wp:effectExtent l="0" t="0" r="0" b="444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618" cy="3120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1B1" w:rsidRDefault="003A7464" w:rsidP="006C71B1">
      <w:pPr>
        <w:pStyle w:val="Paragraphedeliste"/>
        <w:numPr>
          <w:ilvl w:val="0"/>
          <w:numId w:val="4"/>
        </w:numPr>
      </w:pPr>
      <w:r>
        <w:t>Créer</w:t>
      </w:r>
      <w:r w:rsidRPr="003A7464">
        <w:t xml:space="preserve"> un compte AMD</w:t>
      </w:r>
      <w:r w:rsidR="006C71B1">
        <w:t>.</w:t>
      </w:r>
      <w:r>
        <w:t xml:space="preserve"> Le compte sera redemandé</w:t>
      </w:r>
      <w:r w:rsidRPr="003A7464">
        <w:t xml:space="preserve"> </w:t>
      </w:r>
      <w:r>
        <w:t>à</w:t>
      </w:r>
      <w:r w:rsidRPr="003A7464">
        <w:t xml:space="preserve"> l</w:t>
      </w:r>
      <w:r>
        <w:t>’installation.</w:t>
      </w:r>
    </w:p>
    <w:p w:rsidR="006C71B1" w:rsidRPr="006C71B1" w:rsidRDefault="00EE5E30" w:rsidP="00EE5E30">
      <w:r w:rsidRPr="00EE5E30">
        <w:rPr>
          <w:noProof/>
        </w:rPr>
        <w:drawing>
          <wp:inline distT="0" distB="0" distL="0" distR="0" wp14:anchorId="5EA5B042" wp14:editId="4019579A">
            <wp:extent cx="2345635" cy="4301210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1287" cy="4403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B68" w:rsidRPr="003B0B68" w:rsidRDefault="00EE5E30" w:rsidP="00EE5E30">
      <w:pPr>
        <w:pStyle w:val="Titre1"/>
        <w:numPr>
          <w:ilvl w:val="0"/>
          <w:numId w:val="5"/>
        </w:numPr>
      </w:pPr>
      <w:bookmarkStart w:id="1" w:name="_Toc159228767"/>
      <w:r>
        <w:lastRenderedPageBreak/>
        <w:t>Installation</w:t>
      </w:r>
      <w:bookmarkEnd w:id="1"/>
      <w:r>
        <w:t xml:space="preserve"> </w:t>
      </w:r>
    </w:p>
    <w:p w:rsidR="00064A2F" w:rsidRDefault="00EE5E30" w:rsidP="00064A2F">
      <w:pPr>
        <w:pStyle w:val="Paragraphedeliste"/>
        <w:numPr>
          <w:ilvl w:val="0"/>
          <w:numId w:val="13"/>
        </w:numPr>
      </w:pPr>
      <w:r>
        <w:t>Lancer l’installeur et rentrer le compte AMD précédemment</w:t>
      </w:r>
      <w:r w:rsidRPr="00064A2F">
        <w:t xml:space="preserve"> cr</w:t>
      </w:r>
      <w:r>
        <w:t>éé</w:t>
      </w:r>
      <w:r w:rsidR="00064A2F">
        <w:t>.</w:t>
      </w:r>
      <w:r w:rsidR="00114AF6">
        <w:rPr>
          <w:noProof/>
        </w:rPr>
        <w:drawing>
          <wp:inline distT="0" distB="0" distL="0" distR="0">
            <wp:extent cx="4061789" cy="3119790"/>
            <wp:effectExtent l="0" t="0" r="0" b="4445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789" cy="311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A2F" w:rsidRDefault="00064A2F" w:rsidP="00064A2F">
      <w:pPr>
        <w:pStyle w:val="Paragraphedeliste"/>
        <w:numPr>
          <w:ilvl w:val="0"/>
          <w:numId w:val="13"/>
        </w:numPr>
      </w:pPr>
      <w:r>
        <w:t>Dans le choix des produits, sélectionner Vitis.</w:t>
      </w:r>
      <w:r w:rsidRPr="00064A2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684A761" wp14:editId="4A15F8DF">
            <wp:extent cx="4061789" cy="3112642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789" cy="3112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A2F" w:rsidRDefault="00064A2F" w:rsidP="00064A2F">
      <w:pPr>
        <w:pStyle w:val="Paragraphedeliste"/>
        <w:numPr>
          <w:ilvl w:val="0"/>
          <w:numId w:val="13"/>
        </w:numPr>
      </w:pPr>
      <w:r>
        <w:lastRenderedPageBreak/>
        <w:t>Sélectionner les fonctionnalités</w:t>
      </w:r>
      <w:r>
        <w:rPr>
          <w:lang w:val="en-US"/>
        </w:rPr>
        <w:t xml:space="preserve"> necessaire.</w:t>
      </w:r>
      <w:r w:rsidRPr="00064A2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A9B6FF" wp14:editId="03DE3C7E">
            <wp:extent cx="4047830" cy="3112642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830" cy="3112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0128" w:rsidRPr="00C330A2" w:rsidRDefault="001F0128" w:rsidP="001F0128">
      <w:pPr>
        <w:pStyle w:val="Paragraphedeliste"/>
        <w:numPr>
          <w:ilvl w:val="0"/>
          <w:numId w:val="13"/>
        </w:numPr>
      </w:pPr>
      <w:r>
        <w:t>Une fois l’installation terminé, suivre le guide de prise en main d’Etienne CHANUDET</w:t>
      </w:r>
      <w:r w:rsidR="00AE11D8">
        <w:t xml:space="preserve"> et </w:t>
      </w:r>
      <w:r w:rsidR="00AE11D8">
        <w:t>Aurélien TUBY</w:t>
      </w:r>
      <w:bookmarkStart w:id="2" w:name="_GoBack"/>
      <w:bookmarkEnd w:id="2"/>
      <w:r>
        <w:t>, stage hyperviseur FPGA 2023.</w:t>
      </w:r>
    </w:p>
    <w:sectPr w:rsidR="001F0128" w:rsidRPr="00C330A2" w:rsidSect="0073128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85D5E"/>
    <w:multiLevelType w:val="hybridMultilevel"/>
    <w:tmpl w:val="33E8B0B2"/>
    <w:lvl w:ilvl="0" w:tplc="040C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BF827B5"/>
    <w:multiLevelType w:val="hybridMultilevel"/>
    <w:tmpl w:val="150E28E4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2278D5"/>
    <w:multiLevelType w:val="hybridMultilevel"/>
    <w:tmpl w:val="55726E50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91309C5"/>
    <w:multiLevelType w:val="hybridMultilevel"/>
    <w:tmpl w:val="9162D128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E9B30DF"/>
    <w:multiLevelType w:val="hybridMultilevel"/>
    <w:tmpl w:val="E34A3428"/>
    <w:lvl w:ilvl="0" w:tplc="83DCFB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CE73B6"/>
    <w:multiLevelType w:val="hybridMultilevel"/>
    <w:tmpl w:val="D3EC9E34"/>
    <w:lvl w:ilvl="0" w:tplc="040C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3914CB1"/>
    <w:multiLevelType w:val="hybridMultilevel"/>
    <w:tmpl w:val="7C46E606"/>
    <w:lvl w:ilvl="0" w:tplc="0D3057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760BC"/>
    <w:multiLevelType w:val="hybridMultilevel"/>
    <w:tmpl w:val="5E4AC124"/>
    <w:lvl w:ilvl="0" w:tplc="A472548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25610B"/>
    <w:multiLevelType w:val="hybridMultilevel"/>
    <w:tmpl w:val="E848923E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6DB6975"/>
    <w:multiLevelType w:val="hybridMultilevel"/>
    <w:tmpl w:val="8514F10A"/>
    <w:lvl w:ilvl="0" w:tplc="422E5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A966946"/>
    <w:multiLevelType w:val="hybridMultilevel"/>
    <w:tmpl w:val="A1604866"/>
    <w:lvl w:ilvl="0" w:tplc="49EE95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247D25"/>
    <w:multiLevelType w:val="hybridMultilevel"/>
    <w:tmpl w:val="82B6162A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4BE2195"/>
    <w:multiLevelType w:val="hybridMultilevel"/>
    <w:tmpl w:val="8FCC0398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5122723"/>
    <w:multiLevelType w:val="hybridMultilevel"/>
    <w:tmpl w:val="A2B0EBA0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9E370B9"/>
    <w:multiLevelType w:val="hybridMultilevel"/>
    <w:tmpl w:val="A6208D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0E653E"/>
    <w:multiLevelType w:val="hybridMultilevel"/>
    <w:tmpl w:val="2ECA7E44"/>
    <w:lvl w:ilvl="0" w:tplc="5B9607F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C423D61"/>
    <w:multiLevelType w:val="hybridMultilevel"/>
    <w:tmpl w:val="B1CA015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991BEF"/>
    <w:multiLevelType w:val="hybridMultilevel"/>
    <w:tmpl w:val="CC4C0662"/>
    <w:lvl w:ilvl="0" w:tplc="4864B9F6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0"/>
  </w:num>
  <w:num w:numId="2">
    <w:abstractNumId w:val="0"/>
  </w:num>
  <w:num w:numId="3">
    <w:abstractNumId w:val="5"/>
  </w:num>
  <w:num w:numId="4">
    <w:abstractNumId w:val="2"/>
  </w:num>
  <w:num w:numId="5">
    <w:abstractNumId w:val="7"/>
  </w:num>
  <w:num w:numId="6">
    <w:abstractNumId w:val="15"/>
  </w:num>
  <w:num w:numId="7">
    <w:abstractNumId w:val="17"/>
  </w:num>
  <w:num w:numId="8">
    <w:abstractNumId w:val="12"/>
  </w:num>
  <w:num w:numId="9">
    <w:abstractNumId w:val="16"/>
  </w:num>
  <w:num w:numId="10">
    <w:abstractNumId w:val="14"/>
  </w:num>
  <w:num w:numId="11">
    <w:abstractNumId w:val="8"/>
  </w:num>
  <w:num w:numId="12">
    <w:abstractNumId w:val="9"/>
  </w:num>
  <w:num w:numId="13">
    <w:abstractNumId w:val="11"/>
  </w:num>
  <w:num w:numId="14">
    <w:abstractNumId w:val="3"/>
  </w:num>
  <w:num w:numId="15">
    <w:abstractNumId w:val="13"/>
  </w:num>
  <w:num w:numId="16">
    <w:abstractNumId w:val="4"/>
  </w:num>
  <w:num w:numId="17">
    <w:abstractNumId w:val="1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6CC"/>
    <w:rsid w:val="000423DC"/>
    <w:rsid w:val="00054319"/>
    <w:rsid w:val="00064A2F"/>
    <w:rsid w:val="00114AF6"/>
    <w:rsid w:val="00177300"/>
    <w:rsid w:val="00195B20"/>
    <w:rsid w:val="001E3D5B"/>
    <w:rsid w:val="001F0128"/>
    <w:rsid w:val="00284E62"/>
    <w:rsid w:val="003A7464"/>
    <w:rsid w:val="003B0B68"/>
    <w:rsid w:val="00641857"/>
    <w:rsid w:val="006628D9"/>
    <w:rsid w:val="0066507A"/>
    <w:rsid w:val="006C71B1"/>
    <w:rsid w:val="00731284"/>
    <w:rsid w:val="00753113"/>
    <w:rsid w:val="008216CC"/>
    <w:rsid w:val="00944DAA"/>
    <w:rsid w:val="00A33AB5"/>
    <w:rsid w:val="00A3512E"/>
    <w:rsid w:val="00AE11D8"/>
    <w:rsid w:val="00B8727A"/>
    <w:rsid w:val="00BE1BC9"/>
    <w:rsid w:val="00C330A2"/>
    <w:rsid w:val="00C76FBF"/>
    <w:rsid w:val="00E16C98"/>
    <w:rsid w:val="00E7348E"/>
    <w:rsid w:val="00EE5E30"/>
    <w:rsid w:val="00FD3B5C"/>
    <w:rsid w:val="00FE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FB8D0"/>
  <w15:chartTrackingRefBased/>
  <w15:docId w15:val="{0DB229B0-2DCE-483A-AFEC-C483550F8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312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C71B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41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312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31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3128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731284"/>
    <w:rPr>
      <w:rFonts w:eastAsiaTheme="minorEastAsia"/>
      <w:color w:val="5A5A5A" w:themeColor="text1" w:themeTint="A5"/>
      <w:spacing w:val="15"/>
    </w:rPr>
  </w:style>
  <w:style w:type="paragraph" w:styleId="Sansinterligne">
    <w:name w:val="No Spacing"/>
    <w:link w:val="SansinterligneCar"/>
    <w:uiPriority w:val="1"/>
    <w:qFormat/>
    <w:rsid w:val="0073128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31284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7312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31284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6C71B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C71B1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6418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M1">
    <w:name w:val="toc 1"/>
    <w:basedOn w:val="Normal"/>
    <w:next w:val="Normal"/>
    <w:autoRedefine/>
    <w:uiPriority w:val="39"/>
    <w:unhideWhenUsed/>
    <w:rsid w:val="00284E6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84E62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284E62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284E6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A74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www.xilinx.com/support/download.html" TargetMode="Externa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929C27008C34BF88158ED2EC687121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9D091B4-354E-4E6B-959E-7D41717016CF}"/>
      </w:docPartPr>
      <w:docPartBody>
        <w:p w:rsidR="00C06A88" w:rsidRDefault="006A7E89" w:rsidP="006A7E89">
          <w:pPr>
            <w:pStyle w:val="3929C27008C34BF88158ED2EC6871214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808BB71D900B4530826F1E00D37553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E0CD7B5-BB34-4EFA-98C5-9343E95D1878}"/>
      </w:docPartPr>
      <w:docPartBody>
        <w:p w:rsidR="00C06A88" w:rsidRDefault="006A7E89" w:rsidP="006A7E89">
          <w:pPr>
            <w:pStyle w:val="808BB71D900B4530826F1E00D37553DA"/>
          </w:pPr>
          <w:r>
            <w:rPr>
              <w:color w:val="4472C4" w:themeColor="accent1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E89"/>
    <w:rsid w:val="006A7E89"/>
    <w:rsid w:val="00903E17"/>
    <w:rsid w:val="00C0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929C27008C34BF88158ED2EC6871214">
    <w:name w:val="3929C27008C34BF88158ED2EC6871214"/>
    <w:rsid w:val="006A7E89"/>
  </w:style>
  <w:style w:type="paragraph" w:customStyle="1" w:styleId="808BB71D900B4530826F1E00D37553DA">
    <w:name w:val="808BB71D900B4530826F1E00D37553DA"/>
    <w:rsid w:val="006A7E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2023-05-16T00:00:00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CB3C026-7156-4B8C-B7EF-C084399D7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5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Installation de l’environnement</vt:lpstr>
    </vt:vector>
  </TitlesOfParts>
  <Company>Novasys ingénierie</Company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Installation de l’environnement</dc:title>
  <dc:subject>Stage Hyperviseur FPGA 2024</dc:subject>
  <dc:creator>Etienne CHANUDET</dc:creator>
  <cp:keywords/>
  <dc:description/>
  <cp:lastModifiedBy>Emeric DU GARDIN</cp:lastModifiedBy>
  <cp:revision>11</cp:revision>
  <dcterms:created xsi:type="dcterms:W3CDTF">2023-05-16T12:59:00Z</dcterms:created>
  <dcterms:modified xsi:type="dcterms:W3CDTF">2024-02-22T09:40:00Z</dcterms:modified>
</cp:coreProperties>
</file>