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学生自主学习应用项目方案</w:t>
      </w:r>
    </w:p>
    <w:p>
      <w:pPr>
        <w:pStyle w:val="Subtitle"/>
      </w:pPr>
      <w:r>
        <w:t>产品规划与开发交接方案</w:t>
      </w:r>
    </w:p>
    <w:p>
      <w:r>
        <w:rPr>
          <w:sz w:val="19"/>
        </w:rPr>
        <w:t>版本 V1.0　编制日期 2026年9月13日　项目代号 StudySteps</w:t>
      </w:r>
    </w:p>
    <w:p>
      <w:r>
        <w:t>面向英群及后续设计、开发、测试人员。本方案覆盖产品定位、学段年级、学生与家长协作、页面流程、任务规则、数据与接口、交付计划和验收标准。StudySteps 仅作为工程代号，正式名称与品牌另行确定。</w:t>
      </w:r>
    </w:p>
    <w:p>
      <w:r>
        <w:t>建议建立一个独立的学生自主学习产品。先用手机网页完成“自己安排任务、开始学习、记录成果、每周调整”的核心流程，再依据试点反馈扩展微信小程序和原生应用。首期完整支持小学、初中、高中年级选择，重点验证小学三至六年级家庭的使用体验。大学及成人学习预留分类，第二阶段再完善专用模板。</w:t>
      </w:r>
    </w:p>
    <w:p>
      <w:r>
        <w:t>首期成功标准是孩子能更少依赖催促地完成自己参与制定的计划。产品以任务完成、计划调整和个人进步为主要反馈，学习时长只作为辅助记录。成绩提升不作为未经验证的宣传承诺。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7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决策项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本方案采用的默认方案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使用场景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家庭课后学习，兼容孩子独立设备与家长共用设备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首发形态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手机优先的 H5，兼容平板；后台使用桌面网页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首发用户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支持小学至高中；试点优先小学三至六年级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核心导航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打卡、计划、成长、我的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家长参与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协助开通、建议计划、查看授权范围内的总结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技术路线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TypeScript 前后端、模块化单体、独立数据库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开发节奏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42至58人日工程估算，另安排14天家庭试用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商业化节奏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先验证持续使用，再研究家长付费的家庭增值功能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本方案中的任务时长、模板数量、试点指标和排期均为可调整的产品或工程设定。它们不代表统一教育标准、市场统计或供应商报价。</w:t>
      </w:r>
    </w:p>
    <w:p>
      <w:r>
        <w:br w:type="page"/>
      </w:r>
    </w:p>
    <w:p>
      <w:pPr>
        <w:pStyle w:val="Heading1"/>
      </w:pPr>
      <w:r>
        <w:t>阅读导航</w:t>
      </w:r>
    </w:p>
    <w:p>
      <w:r>
        <w:t>第1至9章用于产品与设计，第10至14章用于工程与验收，第15至18章用于试点和排期。点击下列章节可跳转。</w:t>
      </w:r>
    </w:p>
    <w:p>
      <w:pPr>
        <w:spacing w:after="100"/>
      </w:pPr>
      <w:hyperlink w:anchor="section_1">
        <w:r>
          <w:rPr>
            <w:rFonts w:ascii="DejaVu Sans" w:hAnsi="DejaVu Sans" w:cs="DejaVu Sans" w:eastAsia="Droid Sans Fallback"/>
            <w:color w:val="000000"/>
          </w:rPr>
          <w:t>1 产品定位与范围</w:t>
        </w:r>
      </w:hyperlink>
    </w:p>
    <w:p>
      <w:pPr>
        <w:spacing w:after="100"/>
      </w:pPr>
      <w:hyperlink w:anchor="section_2">
        <w:r>
          <w:rPr>
            <w:rFonts w:ascii="DejaVu Sans" w:hAnsi="DejaVu Sans" w:cs="DejaVu Sans" w:eastAsia="Droid Sans Fallback"/>
            <w:color w:val="000000"/>
          </w:rPr>
          <w:t>2 学段年级与个性化系统</w:t>
        </w:r>
      </w:hyperlink>
    </w:p>
    <w:p>
      <w:pPr>
        <w:spacing w:after="100"/>
      </w:pPr>
      <w:hyperlink w:anchor="section_3">
        <w:r>
          <w:rPr>
            <w:rFonts w:ascii="DejaVu Sans" w:hAnsi="DejaVu Sans" w:cs="DejaVu Sans" w:eastAsia="Droid Sans Fallback"/>
            <w:color w:val="000000"/>
          </w:rPr>
          <w:t>3 用户角色与首次使用</w:t>
        </w:r>
      </w:hyperlink>
    </w:p>
    <w:p>
      <w:pPr>
        <w:spacing w:after="100"/>
      </w:pPr>
      <w:hyperlink w:anchor="section_4">
        <w:r>
          <w:rPr>
            <w:rFonts w:ascii="DejaVu Sans" w:hAnsi="DejaVu Sans" w:cs="DejaVu Sans" w:eastAsia="Droid Sans Fallback"/>
            <w:color w:val="000000"/>
          </w:rPr>
          <w:t>4 核心使用流程</w:t>
        </w:r>
      </w:hyperlink>
    </w:p>
    <w:p>
      <w:pPr>
        <w:spacing w:after="100"/>
      </w:pPr>
      <w:hyperlink w:anchor="section_5">
        <w:r>
          <w:rPr>
            <w:rFonts w:ascii="DejaVu Sans" w:hAnsi="DejaVu Sans" w:cs="DejaVu Sans" w:eastAsia="Droid Sans Fallback"/>
            <w:color w:val="000000"/>
          </w:rPr>
          <w:t>5 功能范围与优先级</w:t>
        </w:r>
      </w:hyperlink>
    </w:p>
    <w:p>
      <w:pPr>
        <w:spacing w:after="100"/>
      </w:pPr>
      <w:hyperlink w:anchor="section_6">
        <w:r>
          <w:rPr>
            <w:rFonts w:ascii="DejaVu Sans" w:hAnsi="DejaVu Sans" w:cs="DejaVu Sans" w:eastAsia="Droid Sans Fallback"/>
            <w:color w:val="000000"/>
          </w:rPr>
          <w:t>6 学生端页面设计</w:t>
        </w:r>
      </w:hyperlink>
    </w:p>
    <w:p>
      <w:pPr>
        <w:spacing w:after="100"/>
      </w:pPr>
      <w:hyperlink w:anchor="section_7">
        <w:r>
          <w:rPr>
            <w:rFonts w:ascii="DejaVu Sans" w:hAnsi="DejaVu Sans" w:cs="DejaVu Sans" w:eastAsia="Droid Sans Fallback"/>
            <w:color w:val="000000"/>
          </w:rPr>
          <w:t>7 家长端与管理后台</w:t>
        </w:r>
      </w:hyperlink>
    </w:p>
    <w:p>
      <w:pPr>
        <w:spacing w:after="100"/>
      </w:pPr>
      <w:hyperlink w:anchor="section_8">
        <w:r>
          <w:rPr>
            <w:rFonts w:ascii="DejaVu Sans" w:hAnsi="DejaVu Sans" w:cs="DejaVu Sans" w:eastAsia="Droid Sans Fallback"/>
            <w:color w:val="000000"/>
          </w:rPr>
          <w:t>8 视觉与交互规范</w:t>
        </w:r>
      </w:hyperlink>
    </w:p>
    <w:p>
      <w:pPr>
        <w:spacing w:after="100"/>
      </w:pPr>
      <w:hyperlink w:anchor="section_9">
        <w:r>
          <w:rPr>
            <w:rFonts w:ascii="DejaVu Sans" w:hAnsi="DejaVu Sans" w:cs="DejaVu Sans" w:eastAsia="Droid Sans Fallback"/>
            <w:color w:val="000000"/>
          </w:rPr>
          <w:t>9 任务模板与业务规则</w:t>
        </w:r>
      </w:hyperlink>
    </w:p>
    <w:p>
      <w:pPr>
        <w:spacing w:after="100"/>
      </w:pPr>
      <w:hyperlink w:anchor="section_10">
        <w:r>
          <w:rPr>
            <w:rFonts w:ascii="DejaVu Sans" w:hAnsi="DejaVu Sans" w:cs="DejaVu Sans" w:eastAsia="Droid Sans Fallback"/>
            <w:color w:val="000000"/>
          </w:rPr>
          <w:t>10 数据模型与一致性</w:t>
        </w:r>
      </w:hyperlink>
    </w:p>
    <w:p>
      <w:pPr>
        <w:spacing w:after="100"/>
      </w:pPr>
      <w:hyperlink w:anchor="section_11">
        <w:r>
          <w:rPr>
            <w:rFonts w:ascii="DejaVu Sans" w:hAnsi="DejaVu Sans" w:cs="DejaVu Sans" w:eastAsia="Droid Sans Fallback"/>
            <w:color w:val="000000"/>
          </w:rPr>
          <w:t>11 接口与模块边界</w:t>
        </w:r>
      </w:hyperlink>
    </w:p>
    <w:p>
      <w:pPr>
        <w:spacing w:after="100"/>
      </w:pPr>
      <w:hyperlink w:anchor="section_12">
        <w:r>
          <w:rPr>
            <w:rFonts w:ascii="DejaVu Sans" w:hAnsi="DejaVu Sans" w:cs="DejaVu Sans" w:eastAsia="Droid Sans Fallback"/>
            <w:color w:val="000000"/>
          </w:rPr>
          <w:t>12 技术架构与开源参考</w:t>
        </w:r>
      </w:hyperlink>
    </w:p>
    <w:p>
      <w:pPr>
        <w:spacing w:after="100"/>
      </w:pPr>
      <w:hyperlink w:anchor="section_13">
        <w:r>
          <w:rPr>
            <w:rFonts w:ascii="DejaVu Sans" w:hAnsi="DejaVu Sans" w:cs="DejaVu Sans" w:eastAsia="Droid Sans Fallback"/>
            <w:color w:val="000000"/>
          </w:rPr>
          <w:t>13 未成年人数据与安全设计</w:t>
        </w:r>
      </w:hyperlink>
    </w:p>
    <w:p>
      <w:pPr>
        <w:spacing w:after="100"/>
      </w:pPr>
      <w:hyperlink w:anchor="section_14">
        <w:r>
          <w:rPr>
            <w:rFonts w:ascii="DejaVu Sans" w:hAnsi="DejaVu Sans" w:cs="DejaVu Sans" w:eastAsia="Droid Sans Fallback"/>
            <w:color w:val="000000"/>
          </w:rPr>
          <w:t>14 验收标准与测试计划</w:t>
        </w:r>
      </w:hyperlink>
    </w:p>
    <w:p>
      <w:pPr>
        <w:spacing w:after="100"/>
      </w:pPr>
      <w:hyperlink w:anchor="section_15">
        <w:r>
          <w:rPr>
            <w:rFonts w:ascii="DejaVu Sans" w:hAnsi="DejaVu Sans" w:cs="DejaVu Sans" w:eastAsia="Droid Sans Fallback"/>
            <w:color w:val="000000"/>
          </w:rPr>
          <w:t>15 试点与产品指标</w:t>
        </w:r>
      </w:hyperlink>
    </w:p>
    <w:p>
      <w:pPr>
        <w:spacing w:after="100"/>
      </w:pPr>
      <w:hyperlink w:anchor="section_16">
        <w:r>
          <w:rPr>
            <w:rFonts w:ascii="DejaVu Sans" w:hAnsi="DejaVu Sans" w:cs="DejaVu Sans" w:eastAsia="Droid Sans Fallback"/>
            <w:color w:val="000000"/>
          </w:rPr>
          <w:t>16 开发里程碑与工作量</w:t>
        </w:r>
      </w:hyperlink>
    </w:p>
    <w:p>
      <w:pPr>
        <w:spacing w:after="100"/>
      </w:pPr>
      <w:hyperlink w:anchor="section_17">
        <w:r>
          <w:rPr>
            <w:rFonts w:ascii="DejaVu Sans" w:hAnsi="DejaVu Sans" w:cs="DejaVu Sans" w:eastAsia="Droid Sans Fallback"/>
            <w:color w:val="000000"/>
          </w:rPr>
          <w:t>17 运营与商业化假设</w:t>
        </w:r>
      </w:hyperlink>
    </w:p>
    <w:p>
      <w:pPr>
        <w:spacing w:after="100"/>
      </w:pPr>
      <w:hyperlink w:anchor="section_18">
        <w:r>
          <w:rPr>
            <w:rFonts w:ascii="DejaVu Sans" w:hAnsi="DejaVu Sans" w:cs="DejaVu Sans" w:eastAsia="Droid Sans Fallback"/>
            <w:color w:val="000000"/>
          </w:rPr>
          <w:t>18 开发协作与首批任务</w:t>
        </w:r>
      </w:hyperlink>
    </w:p>
    <w:p>
      <w:pPr>
        <w:spacing w:after="100"/>
      </w:pPr>
      <w:hyperlink w:anchor="section_19">
        <w:r>
          <w:rPr>
            <w:rFonts w:ascii="DejaVu Sans" w:hAnsi="DejaVu Sans" w:cs="DejaVu Sans" w:eastAsia="Droid Sans Fallback"/>
            <w:color w:val="000000"/>
          </w:rPr>
          <w:t>19 参考资料</w:t>
        </w:r>
      </w:hyperlink>
    </w:p>
    <w:p>
      <w:r>
        <w:br w:type="page"/>
      </w:r>
    </w:p>
    <w:p>
      <w:bookmarkStart w:id="1" w:name="section_1"/>
      <w:pPr>
        <w:pStyle w:val="Heading1"/>
      </w:pPr>
      <w:r>
        <w:t>1 产品定位与范围</w:t>
      </w:r>
      <w:bookmarkEnd w:id="1"/>
    </w:p>
    <w:p>
      <w:pPr>
        <w:pStyle w:val="Heading2"/>
      </w:pPr>
      <w:r>
        <w:t>1.1 要解决的问题</w:t>
      </w:r>
    </w:p>
    <w:p>
      <w:r>
        <w:t>孩子常见的困难是目标过大、下一步不明确、计划与当天精力不匹配，以及记录后看不到具体进步。家长则需要知道孩子是否有困难、哪里可以协助，同时避免每天重复布置和催促。首期围绕这些情境组织功能。</w:t>
      </w:r>
    </w:p>
    <w:p>
      <w:r>
        <w:t>产品提供三个直接价值：把“我要好好学习”拆成今天可完成的事项；让学习过程有开始、结束和调整的入口；让孩子与家长以具体记录讨论下周安排。模板帮助起步，孩子始终可以修改任务内容和顺序。</w:t>
      </w:r>
    </w:p>
    <w:p>
      <w:pPr>
        <w:pStyle w:val="Heading2"/>
      </w:pPr>
      <w:r>
        <w:t>1.2 首期边界</w:t>
      </w:r>
    </w:p>
    <w:p>
      <w:r>
        <w:t>首期提供学习计划、习惯记录、可选计时、简单复盘及家庭协作。账号、权限、数据导出与删除属于完整产品的一部分，应与核心业务同时交付。</w:t>
      </w:r>
    </w:p>
    <w:p>
      <w:r>
        <w:t>题库、拍照搜题、自动批改、AI聊天老师、公开学习社区、陌生人私信、班级管理、直播课程、实物奖励商城及在线支付暂不进入首期。后续只有在明确用户问题和新增成本后才分别立项。</w:t>
      </w:r>
    </w:p>
    <w:p>
      <w:pPr>
        <w:pStyle w:val="Heading2"/>
      </w:pPr>
      <w:r>
        <w:t>1.3 与现有项目的关系</w:t>
      </w:r>
    </w:p>
    <w:p>
      <w:r>
        <w:t>本项目独立于 Yuwang／渔网杯。使用独立仓库、数据库、运行环境、账号域和素材空间。可以沿用已有的文档规范、代码审查方式和通用工程经验；不共用Yuwang账号、订单、支付数据或业务权限。</w:t>
      </w:r>
    </w:p>
    <w:p>
      <w:bookmarkStart w:id="2" w:name="section_2"/>
      <w:pPr>
        <w:pStyle w:val="Heading1"/>
      </w:pPr>
      <w:r>
        <w:t>2 学段年级与个性化系统</w:t>
      </w:r>
      <w:bookmarkEnd w:id="2"/>
    </w:p>
    <w:p>
      <w:pPr>
        <w:pStyle w:val="Heading2"/>
      </w:pPr>
      <w:r>
        <w:t>2.1 分类结构</w:t>
      </w:r>
    </w:p>
    <w:p>
      <w:r>
        <w:t>数据采用“学段、学制、年级、学期、科目、个人目标”的组合。学段用于组织模板；年级用于筛选默认内容；学期用于归档和切换；个人目标用于决定真正展示哪些任务。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54"/>
        <w:gridCol w:w="2261"/>
        <w:gridCol w:w="3283"/>
        <w:gridCol w:w="3096"/>
      </w:tblGrid>
      <w:tr>
        <w:trPr>
          <w:cantSplit/>
          <w:tblHeader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学段分组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年级范围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默认计划方式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家长与界面重点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小学低年级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一至二年级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一次一个小任务，图形提示，允许家长代录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大按钮、少文字、陪伴操作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小学中年级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三至四年级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每日重点，作业与阅读分开，练习自主排序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孩子选择，家长提供建议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小学高年级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五至六年级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周目标拆成日任务，增加预习和复习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简化插画，逐渐独立制定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初中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六三制初一至初三；五四制含初四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按科目安排一周，错题复习与考试准备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信息紧凑，展示任务负担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高中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高一、高二、高三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阶段目标、学科专题、周期复习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自主调整，弱化卡通和奖励</w:t>
            </w:r>
          </w:p>
        </w:tc>
      </w:tr>
      <w:tr>
        <w:trPr>
          <w:cantSplit/>
        </w:trPr>
        <w:tc>
          <w:tcPr>
            <w:tcW w:type="dxa" w:w="1354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大学及其他</w:t>
            </w:r>
          </w:p>
        </w:tc>
        <w:tc>
          <w:tcPr>
            <w:tcW w:type="dxa" w:w="22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自定义阶段或学期</w:t>
            </w:r>
          </w:p>
        </w:tc>
        <w:tc>
          <w:tcPr>
            <w:tcW w:type="dxa" w:w="328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课程、考证、项目与长期目标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第二阶段提供独立模板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默认采用常见的六三学制，同时支持五四学制和自定义年级。不要将年级简单存成全局数字并假定所有用户的小学都是六年。推荐字段为 stage_code、school_system、grade_code、grade_label、term_code。</w:t>
      </w:r>
    </w:p>
    <w:p>
      <w:pPr>
        <w:pStyle w:val="Heading2"/>
      </w:pPr>
      <w:r>
        <w:t>2.2 科目模板</w:t>
      </w:r>
    </w:p>
    <w:p>
      <w:r>
        <w:t>小学模板提供语文、数学、英语、阅读、运动与自定义分类；初中、高中增加可选学科列表。科目由学生或家长选择，不自动把所有学科加入计划。科目出现的具体年级、课程版本和选科组合允许配置，不把模板当作全国统一课表。</w:t>
      </w:r>
    </w:p>
    <w:p>
      <w:r>
        <w:t>首期配置12个常见年级入口。建议每个年级提供3个原创模板，共36个，分别覆盖日常安排、阅读或复习习惯、周计划。每个模板最多包含少量示例任务，导入前必须预览并可取消。</w:t>
      </w:r>
    </w:p>
    <w:p>
      <w:pPr>
        <w:pStyle w:val="Heading2"/>
      </w:pPr>
      <w:r>
        <w:t>2.3 年级与年龄分离</w:t>
      </w:r>
    </w:p>
    <w:p>
      <w:r>
        <w:t>年级不能作为判断年龄或监护权限的依据。另设年龄段记录和确认来源，例如未满14岁、14至17岁、18岁及以上、尚未确认，并保留确认日期。年龄尚未确认时先展示静态体验页，不创建正式学习记录。</w:t>
      </w:r>
    </w:p>
    <w:p>
      <w:r>
        <w:t>首期建议所有未满18岁档案由监护人开通，这是便于试点管理的产品选择。其中处理未满14岁儿童个人信息须落实监护人同意及专门规则，见第13章。成年用户独立开通的完整流程安排在第二阶段。</w:t>
      </w:r>
      <w:hyperlink r:id="rId10">
        <w:r>
          <w:rPr>
            <w:rFonts w:ascii="DejaVu Sans" w:hAnsi="DejaVu Sans" w:cs="DejaVu Sans" w:eastAsia="Droid Sans Fallback"/>
            <w:color w:val="245B78"/>
            <w:sz w:val="18"/>
          </w:rPr>
          <w:t>[S5]</w:t>
        </w:r>
      </w:hyperlink>
    </w:p>
    <w:p>
      <w:pPr>
        <w:pStyle w:val="Heading2"/>
      </w:pPr>
      <w:r>
        <w:t>2.4 升级年级与个体差异</w:t>
      </w:r>
    </w:p>
    <w:p>
      <w:r>
        <w:t>新学年只提示确认，不静默修改年级、科目和现有计划。升年级后保留过去记录的年级快照；新模板由用户选择导入。留级、跳级、休学和跨学制通过明确的档案调整流程处理。</w:t>
      </w:r>
    </w:p>
    <w:p>
      <w:r>
        <w:t>同一年级允许选择较轻、标准、自定义三类任务规模。产品不推断孩子的智力或学习能力，不生成“自律差”等标签。默认时长只用于计划预估，用户可以关闭时长展示。</w:t>
      </w:r>
    </w:p>
    <w:p>
      <w:bookmarkStart w:id="3" w:name="section_3"/>
      <w:pPr>
        <w:pStyle w:val="Heading1"/>
      </w:pPr>
      <w:r>
        <w:t>3 用户角色与首次使用</w:t>
      </w:r>
      <w:bookmarkEnd w:id="3"/>
    </w:p>
    <w:p>
      <w:pPr>
        <w:pStyle w:val="Heading2"/>
      </w:pPr>
      <w:r>
        <w:t>3.1 角色权限</w:t>
      </w:r>
    </w:p>
    <w:p>
      <w:r>
        <w:t>权限以具体学生档案及其有效授权关系为边界，不能仅凭一个 family_id 访问全部孩子。管理员使用独立账号体系。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角色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允许操作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主要边界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查看自己的任务、安排顺序、记录完成、调整计划、复盘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不能查看其他学生，不能进入家长管理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主监护人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开通档案、授权设备、建议计划、查看约定范围内的记录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不静默冒用学生身份完成任务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协作监护人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第二阶段按邀请获得指定档案的部分权限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非家庭成员默认无权访问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内容管理员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配置年级科目、编辑及发布模板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默认不能浏览学生照片或复盘正文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支持人员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处理账号与数据请求，按工单获得必要权限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临时授权、可追溯，禁止全库随意查询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首期支持一个主监护人管理多个学生档案。复杂家庭共同监护、争议解绑和主监护人转移通过人工核实处理；不提供自动夺取档案权限的入口。</w:t>
      </w:r>
    </w:p>
    <w:p>
      <w:pPr>
        <w:pStyle w:val="Heading2"/>
      </w:pPr>
      <w:r>
        <w:t>3.2 开通流程</w:t>
      </w:r>
    </w:p>
    <w:p>
      <w:r>
        <w:t>监护人验证账号后，阅读适用的告知与授权内容，选择孩子的年龄段、学段、学制和年级，设置昵称与内置头像。随后与孩子共同选择关注的科目、通常可用的时间段和一个计划模板，预览并修改后保存。</w:t>
      </w:r>
    </w:p>
    <w:p>
      <w:r>
        <w:t>不将真实姓名、学校、班级、定位、通讯录或人脸识别作为普通打卡的必要字段。学生端可以在家长设备切换档案，也可以通过监护人生成的短期单次配对码绑定独立设备。</w:t>
      </w:r>
    </w:p>
    <w:p>
      <w:pPr>
        <w:pStyle w:val="Heading2"/>
      </w:pPr>
      <w:r>
        <w:t>3.3 共用设备与独立设备</w:t>
      </w:r>
    </w:p>
    <w:p>
      <w:r>
        <w:t>进入学生模式后，服务端签发仅能访问该学生档案的会话。切回家长模式需要二次验证，不能只依赖前端隐藏按钮。配对码建议10分钟失效、使用一次作废、存储摘要并限制尝试次数。</w:t>
      </w:r>
    </w:p>
    <w:p>
      <w:r>
        <w:t>设备丢失时，监护人可以撤销该设备会话。撤销后停止同步并清理本地敏感缓存；未同步的内容明确提示其处理结果，不能继续静默提交。</w:t>
      </w:r>
    </w:p>
    <w:p>
      <w:bookmarkStart w:id="4" w:name="section_4"/>
      <w:pPr>
        <w:pStyle w:val="Heading1"/>
      </w:pPr>
      <w:r>
        <w:t>4 核心使用流程</w:t>
      </w:r>
      <w:bookmarkEnd w:id="4"/>
    </w:p>
    <w:p>
      <w:pPr>
        <w:pStyle w:val="Heading2"/>
      </w:pPr>
      <w:r>
        <w:t>4.1 每日流程</w:t>
      </w:r>
    </w:p>
    <w:p>
      <w:r>
        <w:t>打开首页后，先看到当前学生、今天的任务和最适合开始的一项。孩子可以调整顺序或缩小任务，再选择直接学习或使用计时。学习结束后记录完成结果，也可以选择部分完成、遇到困难或稍后继续。</w:t>
      </w:r>
    </w:p>
    <w:p>
      <w:r>
        <w:t>完成一项任务会自动形成当日学习记录。首页不再设置一个与任务无关的大型“签到领积分”按钮。任务记录区分学生自报、家长代录和后补记录，界面不把自报结果宣称为已经验证的学习效果。</w:t>
      </w:r>
    </w:p>
    <w:p>
      <w:pPr>
        <w:pStyle w:val="Heading2"/>
      </w:pPr>
      <w:r>
        <w:t>4.2 每周流程</w:t>
      </w:r>
    </w:p>
    <w:p>
      <w:r>
        <w:t>周末展示本周完成了什么、哪些任务多次调整、哪些地方需要帮助。孩子用三个简短问题完成复盘：本周做得顺利的事是什么，遇到了什么困难，下周准备改哪一件事。允许跳过长文字，用选项与一句话回答。</w:t>
      </w:r>
    </w:p>
    <w:p>
      <w:r>
        <w:t>系统根据记录提供可解释的调整建议，例如“这项任务本周推迟了3次，可以拆小或换时间”。用户确认后才修改下周计划。首期用确定性的规则生成建议，不依赖大模型。</w:t>
      </w:r>
    </w:p>
    <w:p>
      <w:pPr>
        <w:pStyle w:val="Heading2"/>
      </w:pPr>
      <w:r>
        <w:t>4.3 家长协作流程</w:t>
      </w:r>
    </w:p>
    <w:p>
      <w:r>
        <w:t>家长从家庭总览进入某个孩子的周总结，看到完成事项和求助请求，再给出一条具体反馈。家长新增计划时默认作为建议，由孩子在计划页确认；低年级可选择共同制定模式，由家长记录双方约定。</w:t>
      </w:r>
    </w:p>
    <w:p>
      <w:r>
        <w:t>学生复盘正文默认个人可见，孩子可以主动分享给监护人。家长需要看到的求助内容通过明确的“请家长帮忙”动作分享。基础学习统计的可见范围在开通时清楚说明。</w:t>
      </w:r>
    </w:p>
    <w:p>
      <w:bookmarkStart w:id="5" w:name="section_5"/>
      <w:pPr>
        <w:pStyle w:val="Heading1"/>
      </w:pPr>
      <w:r>
        <w:t>5 功能范围与优先级</w:t>
      </w:r>
      <w:bookmarkEnd w:id="5"/>
    </w:p>
    <w:p>
      <w:r>
        <w:t>P0表示完成试点所需；P1表示试点通过后的扩展；P2表示另行评估的功能。优先级不代表开发完成状态。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模块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P0 必须交付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P1 或 P2 扩展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档案与授权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年龄段、学制年级、多档案、设备配对、撤销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协作监护人、自主账号接管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单次、每日、指定星期、起止日期、暂停、调整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每周完成若干次、复杂周期规则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今日任务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排序、重点任务、完成标准、困难与延期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自动负担建议、更丰富分组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完成记录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手动确认、数量结果、可选心得、代录标记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可选照片、语音转文字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学习计时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开始、暂停、结束、异常会话恢复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原生后台能力与系统提醒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成长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月历、本周统计、简短复盘、3种徽章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更多主题、学期报告、导出样式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家长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周总结、计划建议、求助回应、设备管理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多监护协作和家庭自定义约定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后台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分类、模板发布、账号支持、数据请求、审计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模板实验、内容版本比较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通知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站内消息、用户打开后的到期提示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经用户授权的渠道提醒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数据服务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导出、删除申请、备份恢复、必要监控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更完整的迁移与跨设备能力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照片功能放在P1，可以减少首期上传、审核、删除链路和儿童影像处理的成本。P0的完成标准用文字、数字与勾选表达，足以验证是否有人持续使用。</w:t>
      </w:r>
    </w:p>
    <w:p>
      <w:bookmarkStart w:id="6" w:name="section_6"/>
      <w:pPr>
        <w:pStyle w:val="Heading1"/>
      </w:pPr>
      <w:r>
        <w:t>6 学生端页面设计</w:t>
      </w:r>
      <w:bookmarkEnd w:id="6"/>
    </w:p>
    <w:p>
      <w:pPr>
        <w:pStyle w:val="Heading2"/>
      </w:pPr>
      <w:r>
        <w:t>6.1 页面清单</w:t>
      </w:r>
    </w:p>
    <w:p>
      <w:r>
        <w:t>以下编号用于设计稿、任务单、接口联调和验收报告追踪。筛选弹层、日期选择器和通用确认框作为组件，不重复计作独立业务页。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2275"/>
        <w:gridCol w:w="6739"/>
      </w:tblGrid>
      <w:tr>
        <w:trPr>
          <w:cantSplit/>
          <w:tblHeader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必须呈现的信息与操作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身份与适龄引导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学生或家长入口、年龄确认、授权说明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学习档案设置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学制、年级、学期、昵称、科目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初次计划预览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模板任务、预计负担、删改与确认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打卡首页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当前档案、今日重点、待完成与已完成任务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学习计划总览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周日历、日任务、科目筛选、新建入口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S06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新建计划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目标、科目、任务标准、重复方式、起止日期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S07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计划模板库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当前年级筛选、任务示例、预计安排、预览导入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S08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计划详情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目标、任务列表、执行记录、编辑与暂停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S09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任务详情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完成标准、步骤、历史调整、开始与直接记录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S10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专注学习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当前任务、计时、暂停、结束与异常恢复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完成记录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实际完成内容、数量、可选心得、遇到困难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任务调整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本次或未来任务、日期、拆分、调整原因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成长总览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本周记录、月历、个人趋势与徽章入口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学习日历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每日状态、任务明细、休息与补记标识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每周复盘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三个简短问题、下周一项调整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S16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徽章记录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获得条件、获得日期、历史成果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S17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我的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档案、年级调整、消息、设备、设置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S18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设置与数据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提醒、隐私范围、导出、删除与反馈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6.2 学习计划总览</w:t>
      </w:r>
    </w:p>
    <w:p>
      <w:r>
        <w:t>顶部显示“本周计划”和切换周的控件，下方为七日横向日历。默认选择今天，日期下用小点或数字表达任务量，不用纯颜色区分状态。正文展示所选日期任务，提供全部、待完成、已完成筛选，以及科目筛选。</w:t>
      </w:r>
    </w:p>
    <w:p>
      <w:r>
        <w:t>每条任务显示科目、名称、明确完成标准、预计时长和状态。任务多时按学习时段或科目折叠。新建入口持续可见；空状态提供“自己添加”和“选择模板”两种起步方式。</w:t>
      </w:r>
    </w:p>
    <w:p>
      <w:pPr>
        <w:pStyle w:val="Heading2"/>
      </w:pPr>
      <w:r>
        <w:t>6.3 新建计划与编辑</w:t>
      </w:r>
    </w:p>
    <w:p>
      <w:r>
        <w:t>创建分三步：先写目标和科目，再定义任务及完成标准，最后安排日期与重复方式。保存前显示未来一周预览与估计任务量。初次仅必填名称、完成标准和日期；提醒、步骤与备注折叠为可选项。</w:t>
      </w:r>
    </w:p>
    <w:p>
      <w:r>
        <w:t>编辑必须明确影响范围：“仅这一次”或“从选定日期起的未来任务”。已完成记录和历史完成标准不被覆盖。删除长期计划采用归档；未完成的未来安排可以取消，过去的记录继续可查。</w:t>
      </w:r>
    </w:p>
    <w:p>
      <w:pPr>
        <w:pStyle w:val="Heading2"/>
      </w:pPr>
      <w:r>
        <w:t>6.4 任务执行与完成</w:t>
      </w:r>
    </w:p>
    <w:p>
      <w:r>
        <w:t>开始学习提供“使用计时”和“直接去学习”两条等价入口。计时结束不会自动完成任务。提交记录时显示事先约定的标准，例如“阅读10页”；未达到标准可记录部分进度或拆成后续任务。</w:t>
      </w:r>
    </w:p>
    <w:p>
      <w:r>
        <w:t>完成页先反馈具体成果，例如“今天完成了10页阅读”，再提供“下一项”与“结束今天”。庆祝动效短暂、可关闭，不要求分享、看广告或领取奖品才算完成。</w:t>
      </w:r>
    </w:p>
    <w:p>
      <w:pPr>
        <w:pStyle w:val="Heading2"/>
      </w:pPr>
      <w:r>
        <w:t>6.5 空状态与异常状态</w:t>
      </w:r>
    </w:p>
    <w:p>
      <w:r>
        <w:t>至少设计首次无计划、今天休息、全部完成、任务逾期、加载中、请求失败、离线未同步、登录失效、无权限、计划已暂停十种状态。离线提交显示“待同步”，收到服务端确认后再显示完成与奖励，失败可重试且不丢失输入。</w:t>
      </w:r>
    </w:p>
    <w:p>
      <w:bookmarkStart w:id="7" w:name="section_7"/>
      <w:pPr>
        <w:pStyle w:val="Heading1"/>
      </w:pPr>
      <w:r>
        <w:t>7 家长端与管理后台</w:t>
      </w:r>
      <w:bookmarkEnd w:id="7"/>
    </w:p>
    <w:p>
      <w:pPr>
        <w:pStyle w:val="Heading2"/>
      </w:pPr>
      <w:r>
        <w:t>7.1 家长端页面</w:t>
      </w:r>
    </w:p>
    <w:p>
      <w:r>
        <w:t>家长与学生共享账号基础设施，使用不同的业务入口和授权范围。手机端家长导航采用“家庭、建议、我的”，避免将儿童打卡导航原样套用。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2275"/>
        <w:gridCol w:w="6739"/>
      </w:tblGrid>
      <w:tr>
        <w:trPr>
          <w:cantSplit/>
          <w:tblHeader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主要内容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P01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家庭总览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孩子档案切换、本周摘要、待回应求助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P02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孩子学习总结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任务成果、调整情况、可见的复盘内容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P03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计划建议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新增或调整建议、孩子反馈、共同确认记录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P04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鼓励与回应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基于具体成果的反馈、求助处理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P05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档案与设备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年龄段确认、年级调整、配对和撤销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P06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授权与数据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同意记录、可见范围、导出、删除申请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家长代录需要显式选择“代孩子记录”，保存实际操作人。提醒以汇总为主；同一项困难不连续轰炸家长。反馈文案围绕努力、方法与下一步，不展示同学排名。</w:t>
      </w:r>
    </w:p>
    <w:p>
      <w:pPr>
        <w:pStyle w:val="Heading2"/>
      </w:pPr>
      <w:r>
        <w:t>7.2 管理后台页面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2275"/>
        <w:gridCol w:w="6739"/>
      </w:tblGrid>
      <w:tr>
        <w:trPr>
          <w:cantSplit/>
          <w:tblHeader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页面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功能与边界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A01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运行概况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匿名汇总、同步失败、错误趋势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A02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学段科目配置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学制、年级、科目及其关联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A03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模板管理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编辑、审核、预览、发布、下架与版本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A04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账号支持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按工单定位档案、设备撤销、必要信息遮罩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A05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数据请求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导出与删除工单、执行进度、结果记录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A06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审计与设置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敏感操作记录、角色权限、通知参数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后台优先解决内容维护和服务支持，首期不建设复杂经营大屏。模板下架只阻止后续导入，不自动删除学生已经创建的计划。</w:t>
      </w:r>
    </w:p>
    <w:p>
      <w:bookmarkStart w:id="8" w:name="section_8"/>
      <w:pPr>
        <w:pStyle w:val="Heading1"/>
      </w:pPr>
      <w:r>
        <w:t>8 视觉与交互规范</w:t>
      </w:r>
      <w:bookmarkEnd w:id="8"/>
    </w:p>
    <w:p>
      <w:r>
        <w:t>沿用已讨论的薄荷绿与暖白方向，调整首页层级：上方突出今天的下一项任务；周进度作为辅助；连续打卡和徽章下移。学生使用期间，核心任务内容优先于装饰插画。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7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建议规范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基础色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页面 #F7F9F5，主操作 #27775D，浅绿容器，少量暖黄奖励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文字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主要正文使用深色；辅助灰仍需清晰，颜色与图形共同表达状态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基础尺寸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以390px逻辑宽度设计，覆盖360至430px手机及平板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字体层级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标题24、分区18、正文16、辅助13至14；低年级适当放大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操作区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主要点击区域建议不小于44×44逻辑像素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卡片与间距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8点间距体系，圆角16至24，少边框与轻阴影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低年级主题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图形提示、更少并排信息、内置头像与少量学习插画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初高中主题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保留品牌色，减少卡通，增加周视图和科目密度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可访问性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状态不只靠颜色，支持字体放大、减少动效、清晰焦点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设计交付包括设计变量、按钮与输入框、任务卡、日期单元格、进度与状态标签、弹层、空状态、底部导航和错误提示。组件需覆盖默认、加载、禁用、选中、错误五类适用状态。</w:t>
      </w:r>
    </w:p>
    <w:p>
      <w:r>
        <w:t>首轮高保真设计优先S04、S05、S06、S08、S09、S10、S11、S15、P02和A03，其余页面基于同一组件体系补齐。每页同时标注主操作、数据来源、空状态和返回位置。</w:t>
      </w:r>
    </w:p>
    <w:p>
      <w:bookmarkStart w:id="9" w:name="section_9"/>
      <w:pPr>
        <w:pStyle w:val="Heading1"/>
      </w:pPr>
      <w:r>
        <w:t>9 任务模板与业务规则</w:t>
      </w:r>
      <w:bookmarkEnd w:id="9"/>
    </w:p>
    <w:p>
      <w:pPr>
        <w:pStyle w:val="Heading2"/>
      </w:pPr>
      <w:r>
        <w:t>9.1 模板内容示例</w:t>
      </w:r>
    </w:p>
    <w:p>
      <w:r>
        <w:t>以下内容展示任务如何表达，不规定孩子必须学习的数量或时间。所有数量、时长和周期均由使用者确认，避免把成人设定的模板直接变成强制要求。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2621"/>
        <w:gridCol w:w="2779"/>
        <w:gridCol w:w="3125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模板任务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完成标准示例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复盘提示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小学二年级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亲子阅读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读完一篇自己选的短文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最喜欢哪一段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小学四年级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数学巩固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完成自己选的5道题，标出不会的题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哪一步需要帮助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小学六年级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英语复习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复习10个单词并自测一次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下次重点复习什么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初二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错题回顾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重做2道错题并记录出错原因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方法有何变化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高二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学科专题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完成一个知识点梳理和一组练习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还存在什么疑问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任务字段包括名称、科目、完成标准、可选数量与单位、预计时长、开始日期、截止日期、重复规则、可选步骤、提醒、来源和制定方式。来源区分自主创建、模板导入、家长建议与家长代建。</w:t>
      </w:r>
    </w:p>
    <w:p>
      <w:pPr>
        <w:pStyle w:val="Heading2"/>
      </w:pPr>
      <w:r>
        <w:t>9.2 任务安排与变更</w:t>
      </w:r>
    </w:p>
    <w:p>
      <w:r>
        <w:t>P0支持单次、每天、每周指定日期三类重复规则，均设置起止日期或明确的持续标记。暂不实现任意自然语言重复规则。任务分为长期规则和某一天的实例：修改长期规则不能改写已完成实例。</w:t>
      </w:r>
    </w:p>
    <w:p>
      <w:r>
        <w:t>改期时保留同一个实例ID和最初安排日期，更新当前安排日期并写入调整记录。一个任务改到已有同类任务的日期时提示有两项安排，允许保留或由用户明确取消其中一项，不能自动覆盖。</w:t>
      </w:r>
    </w:p>
    <w:p>
      <w:r>
        <w:t>暂停计划取消尚未开始的未来安排，恢复后只继续未来任务，不自动补出暂停期间的所有任务。归档计划保留历史。任务拆分为多个后续实例时记录来源关系，原任务取消并注明拆分，不能同时再算一次完成。</w:t>
      </w:r>
    </w:p>
    <w:p>
      <w:pPr>
        <w:pStyle w:val="Heading2"/>
      </w:pPr>
      <w:r>
        <w:t>9.3 状态与完成口径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对象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关键规则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长期计划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草稿、启用、暂停、归档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暂停和归档均不破坏历史记录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任务实例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待开始、进行中、已完成、已跳过、已取消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逾期由日期推导，允许后续补记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学习会话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计时中、暂停、待确认、已结束、已放弃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一名学生最多一个未结束会话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计划建议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待回应、已接受、已拒绝、已撤回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已接受后生成明确的计划变更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同步操作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待同步、成功、失败、冲突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失败允许重试，不能重复生成记录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“部分完成”记录当前进度，任务保持进行中；确认达到标准后才标记完成，家长代录需标明来源。完成记录与家长反馈独立，首期不要求家长逐条审核才生效。家长可以提出修正建议，修正后保留操作轨迹。</w:t>
      </w:r>
    </w:p>
    <w:p>
      <w:r>
        <w:t>一次完成动作包含任务状态变更、完成记录、当日汇总和徽章事件，必须在同一事务边界内形成一致结果。重复点击、网络重试和离线重放只能产生一次有效完成。</w:t>
      </w:r>
    </w:p>
    <w:p>
      <w:pPr>
        <w:pStyle w:val="Heading2"/>
      </w:pPr>
      <w:r>
        <w:t>9.4 补记与撤销</w:t>
      </w:r>
    </w:p>
    <w:p>
      <w:r>
        <w:t>建议允许补记最近7个自然日。用户选择实际学习日期，系统同时保留服务端接收时间、操作人及补记标识。不得将服务端接收时间伪装成过去，也不把补记当作按时完成。</w:t>
      </w:r>
    </w:p>
    <w:p>
      <w:r>
        <w:t>撤销完成回到待开始或进行中，并撤销对应的有效完成事件。任何奖励都按原业务事件去重，重复完成不能再次刷取。补记和修正更新报告时增加报告版本与修正说明。</w:t>
      </w:r>
    </w:p>
    <w:p>
      <w:pPr>
        <w:pStyle w:val="Heading2"/>
      </w:pPr>
      <w:r>
        <w:t>9.5 计时与跨天</w:t>
      </w:r>
    </w:p>
    <w:p>
      <w:r>
        <w:t>客户端倒计时只负责显示，服务端保存会话开始、暂停、恢复与结束时间。以时间戳计算累计时长，不能依赖页面每秒执行的回调。浏览器后台计时会受到节流，网页不承诺系统级锁屏管理或强制专注。</w:t>
      </w:r>
      <w:hyperlink r:id="rId11">
        <w:r>
          <w:rPr>
            <w:rFonts w:ascii="DejaVu Sans" w:hAnsi="DejaVu Sans" w:cs="DejaVu Sans" w:eastAsia="Droid Sans Fallback"/>
            <w:color w:val="245B78"/>
            <w:sz w:val="18"/>
          </w:rPr>
          <w:t>[S8]</w:t>
        </w:r>
      </w:hyperlink>
    </w:p>
    <w:p>
      <w:r>
        <w:t>建议异常会话在连续90分钟未交互后转为待确认，此值是可调整的产品保护参数。再次打开时询问实际学习情况，未经确认的长时间段不自动进入统计。用户可选择“没有学习”或修正时长。</w:t>
      </w:r>
    </w:p>
    <w:p>
      <w:r>
        <w:t>跨午夜会话按学生时区拆分时长，任务仍按指定学习日期归档。设备时间异常、长时间离线或会话重叠需要提示确认，服务端拒绝负数与明显不合理时长。计时长度不决定完成或奖励数量。</w:t>
      </w:r>
    </w:p>
    <w:p>
      <w:pPr>
        <w:pStyle w:val="Heading2"/>
      </w:pPr>
      <w:r>
        <w:t>9.6 打卡与成长反馈</w:t>
      </w:r>
    </w:p>
    <w:p>
      <w:r>
        <w:t>当日存在至少一条有效完成记录，就显示当日已学习；该标记由记录推导，不单独存一个可任意累加的签到次数。计划休息日独立展示，未完成也不清空过去的累计成果。</w:t>
      </w:r>
    </w:p>
    <w:p>
      <w:r>
        <w:t>首页主要展示本周学习天数和完成事项。若提供连续记录，必须同时解释休息日与补记口径；首期不将连续天数做成主要奖励条件。</w:t>
      </w:r>
    </w:p>
    <w:p>
      <w:r>
        <w:t>首期仅设置首次完成、累计5个学习日、完成首次周复盘三种非消耗型徽章。条件与事件固定、无随机抽奖、不与付费相关。任务撤销导致条件不满足时重新计算当前资格，并保留必要事件审计。</w:t>
      </w:r>
    </w:p>
    <w:p>
      <w:bookmarkStart w:id="10" w:name="section_10"/>
      <w:pPr>
        <w:pStyle w:val="Heading1"/>
      </w:pPr>
      <w:r>
        <w:t>10 数据模型与一致性</w:t>
      </w:r>
      <w:bookmarkEnd w:id="10"/>
    </w:p>
    <w:p>
      <w:pPr>
        <w:pStyle w:val="Heading2"/>
      </w:pPr>
      <w:r>
        <w:t>10.1 核心实体</w:t>
      </w:r>
    </w:p>
    <w:p>
      <w:r>
        <w:t>采用关系数据库，先建立清楚的业务约束。下表列出逻辑实体，实施时可合并简单配置表，但不得把计划规则和每日任务实例混为同一条可反复覆盖的记录。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实体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核心字段或关系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约束重点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Account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主监护人身份、登录方式、状态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不把学生档案ID当登录凭证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StudentProfile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年龄段、学制、年级、学期、时区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所有学习数据归属一个档案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GuardianLink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账号、学生、权限范围、状态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每次访问检查有效关系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ConsentRecord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规则版本、范围、同意时间、主体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撤回与历史记录可追溯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DeviceSession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会话范围、设备、过期、撤销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学生会话不能提升为家长权限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Subject与GradeConfig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科目与学段年级映射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支持自定义及配置版本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PlanTemplateVersion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模板内容、适用范围、发布状态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导入后保存内容快照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StudyPlan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学生、目标、周期、状态、制定方式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与历史实例分离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TaskSeries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计划、完成标准、重复规则、版本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规则变更有生效日期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TaskOccurrence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稳定ID、原始日期、当前日期、状态、快照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同一规则与发生键唯一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CompletionRecord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实例、操作人、学习日期、接收时间、有效性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每个实例仅一条有效完成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StudySession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学生、任务、时间区间、状态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同一学生仅一个活动会话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Reflection与WeeklyReport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学生、周起点、可见范围、报告版本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正文与汇总分开授权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PlanSuggestion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监护人、学生、变更内容、回应状态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接受动作幂等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BadgeEvent与OutboxEvent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条件事件、去重键、处理状态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可重试且不重复生效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AuditLog与DataRequest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操作摘要、请求状态、处理记录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不记录敏感正文和访问令牌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首期不接照片，但为后续Attachment保留关联位置。上传功能上线前再增加对象归属、状态、大小类型、删除期限和访问策略，不先建公开素材目录存学生内容。</w:t>
      </w:r>
    </w:p>
    <w:p>
      <w:pPr>
        <w:pStyle w:val="Heading2"/>
      </w:pPr>
      <w:r>
        <w:t>10.2 唯一键与事务</w:t>
      </w:r>
    </w:p>
    <w:p>
      <w:r>
        <w:t>TaskOccurrence使用唯一键“series_id＋occurrence_key”，其中occurrence_key来自该规则最初安排的本地日期，改期不变。P0一条重复规则每天最多一个实例；同一天需要两次练习时建立两条规则。</w:t>
      </w:r>
    </w:p>
    <w:p>
      <w:r>
        <w:t>对有效完成记录设置每实例唯一约束，对活动会话设置每学生唯一约束，对徽章事件和Outbox事件设置业务去重键。接口使用Idempotency-Key，并将键绑定到操作主体、接口与请求内容摘要；同键不同内容返回冲突。</w:t>
      </w:r>
    </w:p>
    <w:p>
      <w:r>
        <w:t>写入携带version用于乐观锁。家长与学生同时修改同一计划时返回409并展示差异，用户合并确认后重试。不能默认使用最后一次写入覆盖所有字段。</w:t>
      </w:r>
    </w:p>
    <w:p>
      <w:pPr>
        <w:pStyle w:val="Heading2"/>
      </w:pPr>
      <w:r>
        <w:t>10.3 时间与历史</w:t>
      </w:r>
    </w:p>
    <w:p>
      <w:r>
        <w:t>时间戳统一存UTC，学习日另存本地日期与当时的时区快照，默认Asia/Shanghai。历史任务保存年级、科目名称、完成标准和规则版本，后续改年级或改模板不重新解释过去。</w:t>
      </w:r>
    </w:p>
    <w:p>
      <w:r>
        <w:t>定时任务预生成未来14天实例，读取日程时补齐缺失范围，两种入口共享唯一约束。任务生成、报告生成及提醒通过事务Outbox推进，失败允许重试。后台任务不得凭队列消息内的旧权限直接发送敏感内容。</w:t>
      </w:r>
    </w:p>
    <w:p>
      <w:pPr>
        <w:pStyle w:val="Heading2"/>
      </w:pPr>
      <w:r>
        <w:t>10.4 统计口径</w:t>
      </w:r>
    </w:p>
    <w:p>
      <w:r>
        <w:t>首页“已完成／计划任务”按当前选定日期的有效安排计算，排除已取消任务；跳过计入未完成。计划调整数量单独展示。当天无有效任务时展示休息或尚无计划，不显示0%制造失败感。</w:t>
      </w:r>
    </w:p>
    <w:p>
      <w:r>
        <w:t>周报保留首次生成时的安排数、调整数、完成数和按时完成数。后补记录更新版本，补记计入实际学习日但不计入按时完成。任何比例都同时提供分子、分母及时间范围，不能混用当前计划与旧报告快照。</w:t>
      </w:r>
    </w:p>
    <w:p>
      <w:bookmarkStart w:id="11" w:name="section_11"/>
      <w:pPr>
        <w:pStyle w:val="Heading1"/>
      </w:pPr>
      <w:r>
        <w:t>11 接口与模块边界</w:t>
      </w:r>
      <w:bookmarkEnd w:id="11"/>
    </w:p>
    <w:p>
      <w:pPr>
        <w:pStyle w:val="Heading2"/>
      </w:pPr>
      <w:r>
        <w:t>11.1 API 约定</w:t>
      </w:r>
    </w:p>
    <w:p>
      <w:r>
        <w:t>统一使用HTTPS与JSON，业务路径以/v1开始。列表采用游标或稳定排序分页；时间采用ISO格式；业务错误返回code、message、requestId及必要字段。对未授权的学生对象统一返回不会泄露其存在性的错误响应。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81"/>
        <w:gridCol w:w="5472"/>
        <w:gridCol w:w="3341"/>
      </w:tblGrid>
      <w:tr>
        <w:trPr>
          <w:cantSplit/>
          <w:tblHeader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接口组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代表接口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用途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身份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/v1/auth/code；POST /v1/auth/session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验证账号并建立受限会话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档案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GET／POST /v1/students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列出授权档案或创建档案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配对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/v1/students/:id/pairings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生成单次配对码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授权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/v1/students/:id/consents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记录或更新适用同意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GET /v1/templates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根据年级科目筛选模板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GET／POST /v1/students/:id/plans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查询与新建计划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规则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PATCH /v1/plans/:id/series/:seriesId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指定范围调整未来规则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日程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GET /v1/students/:id/tasks?date=YYYY-MM-DD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读取指定学习日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/v1/tasks/:id/completions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幂等提交自报或代录完成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撤销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/v1/completions/:id/revoke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撤销有效完成并同步统计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调整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/v1/tasks/:id/reschedule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改期并记录原因和原始安排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计时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/v1/students/:id/sessions；POST /v1/sessions/:id/actions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创建及暂停恢复结束会话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复盘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PUT /v1/students/:id/reflections/:week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保存复盘及可见范围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报告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GET /v1/students/:id/reports/weekly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返回版本化周报告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建议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/v1/students/:id/suggestions；POST /v1/suggestions/:id/respond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提议并确认计划调整</w:t>
            </w:r>
          </w:p>
        </w:tc>
      </w:tr>
      <w:tr>
        <w:trPr>
          <w:cantSplit/>
        </w:trPr>
        <w:tc>
          <w:tcPr>
            <w:tcW w:type="dxa" w:w="118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数据请求</w:t>
            </w:r>
          </w:p>
        </w:tc>
        <w:tc>
          <w:tcPr>
            <w:tcW w:type="dxa" w:w="547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 /v1/students/:id/data-requests</w:t>
            </w:r>
          </w:p>
        </w:tc>
        <w:tc>
          <w:tcPr>
            <w:tcW w:type="dxa" w:w="334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发起导出或删除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11.2 完成接口约束</w:t>
      </w:r>
    </w:p>
    <w:p>
      <w:r>
        <w:t>提交内容包含taskVersion、completedForDate、实际完成数量、可选心得和来源类型。操作人从认证会话读取，客户端不能任意传另一个accountId代替自己。</w:t>
      </w:r>
    </w:p>
    <w:p>
      <w:r>
        <w:t>服务端依次验证会话与授权、任务归属和状态、补记窗口、参数与版本，再写入完成、汇总和事件。响应至少包含completionId、taskStatus、daySummary、reportVersion、serverTime。重复的同内容请求返回已成功结果。</w:t>
      </w:r>
    </w:p>
    <w:p>
      <w:pPr>
        <w:pStyle w:val="Heading2"/>
      </w:pPr>
      <w:r>
        <w:t>11.3 提醒与后台任务</w:t>
      </w:r>
    </w:p>
    <w:p>
      <w:r>
        <w:t>P0只承诺站内消息和打开页面后的到期提示。默认安静时段建议21:00至次日07:00，用户可调整；这是提醒参数，不作为睡眠指导。多项任务尽量合并为一条摘要。</w:t>
      </w:r>
    </w:p>
    <w:p>
      <w:r>
        <w:t>P1接入具体通知渠道前验证平台授权、触达范围和撤销机制。消息发送前再次检查档案状态、关系、同意范围和偏好。第三方故障不会阻塞任务完成或报告查看。</w:t>
      </w:r>
    </w:p>
    <w:p>
      <w:bookmarkStart w:id="12" w:name="section_12"/>
      <w:pPr>
        <w:pStyle w:val="Heading1"/>
      </w:pPr>
      <w:r>
        <w:t>12 技术架构与开源参考</w:t>
      </w:r>
      <w:bookmarkEnd w:id="12"/>
    </w:p>
    <w:p>
      <w:pPr>
        <w:pStyle w:val="Heading2"/>
      </w:pPr>
      <w:r>
        <w:t>12.1 首发形态选择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2621"/>
        <w:gridCol w:w="2779"/>
        <w:gridCol w:w="3125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形态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适合场景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主要工作与限制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本方案定位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手机H5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快速邀请家庭试用，共用设备与平板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浏览器后台、通知和安装能力不统一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首期实现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微信小程序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家长微信入口、分享和轻量使用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独立前端适配、审核及平台能力核验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试点后决定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原生或Flutter App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长期独立使用、更完整设备能力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分发上架、系统差异、维护成本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核心需求稳定后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手机H5优先是当前预算和验证效率下的工程建议。若首批家庭明确只能使用微信入口，可将小程序前置，但保持数据模型和服务接口，重新估算前端适配与发布工作。</w:t>
      </w:r>
    </w:p>
    <w:p>
      <w:pPr>
        <w:pStyle w:val="Heading2"/>
      </w:pPr>
      <w:r>
        <w:t>12.2 推荐组件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层次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建议选型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原因与实施边界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学生与家长前端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React、TypeScript、Vite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手机优先，共用组件与明确的类型契约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管理后台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React、TypeScript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复用语言与鉴权客户端，独立权限入口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API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NestJS、TypeScript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按业务模块组织认证、计划、报告等逻辑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PostgreSQL、Prisma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关系约束、事务、版本化迁移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后台任务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单体进程的工作任务与数据库Outbox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首期减少组件，达到负载需求再引入专门队列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文件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P1使用独立的私有OSS或兼容对象存储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与公共UI素材隔离，短时授权访问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部署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Docker、独立测试和生产环境、HTTPS反向代理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可回滚、可备份、环境清晰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监控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错误追踪、结构化日志、健康检查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敏感字段脱敏，日志保留期可配置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NestJS用于服务端模块组织，Vite用于前端构建。具体版本在项目初始化时选择相互兼容的稳定版本并锁定依赖；不在本方案中承诺未经实际安装验证的版本组合。</w:t>
      </w:r>
      <w:hyperlink r:id="rId12">
        <w:r>
          <w:rPr>
            <w:rFonts w:ascii="DejaVu Sans" w:hAnsi="DejaVu Sans" w:cs="DejaVu Sans" w:eastAsia="Droid Sans Fallback"/>
            <w:color w:val="245B78"/>
            <w:sz w:val="18"/>
          </w:rPr>
          <w:t>[S9]</w:t>
        </w:r>
      </w:hyperlink>
      <w:hyperlink r:id="rId13">
        <w:r>
          <w:rPr>
            <w:rFonts w:ascii="DejaVu Sans" w:hAnsi="DejaVu Sans" w:cs="DejaVu Sans" w:eastAsia="Droid Sans Fallback"/>
            <w:color w:val="245B78"/>
            <w:sz w:val="18"/>
          </w:rPr>
          <w:t>[S10]</w:t>
        </w:r>
      </w:hyperlink>
    </w:p>
    <w:p>
      <w:r>
        <w:t>业务模块建议为identity、profiles、consents、catalog、planning、tracking、reflection、reports、family、notifications、admin。它们部署为一个API应用，先保持模块边界；首期无需微服务、独立搜索集群或向量数据库。</w:t>
      </w:r>
    </w:p>
    <w:p>
      <w:pPr>
        <w:pStyle w:val="Heading2"/>
      </w:pPr>
      <w:r>
        <w:t>12.3 仓库组织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78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目录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内容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apps/web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学生与家长H5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apps/admin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管理后台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apps/api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API与后台任务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packages/contracts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请求响应类型、校验规则与错误码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packages/domain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日期、重复规则、完成与统计等纯业务逻辑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packages/ui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共享视觉组件及设计变量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prisma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Schema、迁移、非真实用户的种子数据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docs</w:t>
            </w:r>
          </w:p>
        </w:tc>
        <w:tc>
          <w:tcPr>
            <w:tcW w:type="dxa" w:w="797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产品规则、页面清单、接口、测试与交接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GitHub作为代码、Issue、PR和里程碑的工作入口。main保持可运行，每个功能使用小分支和可审查PR；不因为接入标准仓库模板而继承不需要的业务模块。</w:t>
      </w:r>
    </w:p>
    <w:p>
      <w:pPr>
        <w:pStyle w:val="Heading2"/>
      </w:pPr>
      <w:r>
        <w:t>12.4 开源借鉴与复用选择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69"/>
        <w:gridCol w:w="2621"/>
        <w:gridCol w:w="2779"/>
        <w:gridCol w:w="3125"/>
      </w:tblGrid>
      <w:tr>
        <w:trPr>
          <w:cantSplit/>
          <w:tblHeader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项目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可借鉴内容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核验到的技术或许可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使用建议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Helium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学生课程、作业、日历与笔记组织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Flutter前端、Django后端；仓库标注Apache 2.0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借鉴信息结构，整套采用需接受不同技术栈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Loop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重复习惯、提醒、长期进步统计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Android项目；GPL 3.0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借鉴规则和交互，复制代码前核对许可</w:t>
            </w:r>
          </w:p>
        </w:tc>
      </w:tr>
      <w:tr>
        <w:trPr>
          <w:cantSplit/>
        </w:trPr>
        <w:tc>
          <w:tcPr>
            <w:tcW w:type="dxa" w:w="14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Habitica</w:t>
            </w:r>
          </w:p>
        </w:tc>
        <w:tc>
          <w:tcPr>
            <w:tcW w:type="dxa" w:w="26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完成任务后的正向反馈和成长感</w:t>
            </w:r>
          </w:p>
        </w:tc>
        <w:tc>
          <w:tcPr>
            <w:tcW w:type="dxa" w:w="27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代码GPL 3；素材存在不同CC许可</w:t>
            </w:r>
          </w:p>
        </w:tc>
        <w:tc>
          <w:tcPr>
            <w:tcW w:type="dxa" w:w="312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使用原创视觉，分别审核代码与素材条件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上述项目信息来自官方仓库。</w:t>
      </w:r>
      <w:hyperlink r:id="rId14">
        <w:r>
          <w:rPr>
            <w:rFonts w:ascii="DejaVu Sans" w:hAnsi="DejaVu Sans" w:cs="DejaVu Sans" w:eastAsia="Droid Sans Fallback"/>
            <w:color w:val="245B78"/>
            <w:sz w:val="18"/>
          </w:rPr>
          <w:t>[S1]</w:t>
        </w:r>
      </w:hyperlink>
      <w:hyperlink r:id="rId15">
        <w:r>
          <w:rPr>
            <w:rFonts w:ascii="DejaVu Sans" w:hAnsi="DejaVu Sans" w:cs="DejaVu Sans" w:eastAsia="Droid Sans Fallback"/>
            <w:color w:val="245B78"/>
            <w:sz w:val="18"/>
          </w:rPr>
          <w:t>[S2]</w:t>
        </w:r>
      </w:hyperlink>
      <w:hyperlink r:id="rId16">
        <w:r>
          <w:rPr>
            <w:rFonts w:ascii="DejaVu Sans" w:hAnsi="DejaVu Sans" w:cs="DejaVu Sans" w:eastAsia="Droid Sans Fallback"/>
            <w:color w:val="245B78"/>
            <w:sz w:val="18"/>
          </w:rPr>
          <w:t>[S3]</w:t>
        </w:r>
      </w:hyperlink>
      <w:hyperlink r:id="rId17">
        <w:r>
          <w:rPr>
            <w:rFonts w:ascii="DejaVu Sans" w:hAnsi="DejaVu Sans" w:cs="DejaVu Sans" w:eastAsia="Droid Sans Fallback"/>
            <w:color w:val="245B78"/>
            <w:sz w:val="18"/>
          </w:rPr>
          <w:t>[S4]</w:t>
        </w:r>
      </w:hyperlink>
      <w:r>
        <w:t xml:space="preserve"> 当前产品建议独立实现自己的任务与家庭规则，避免同时迁移三套代码库。若希望直接基于Helium开发，先用2至3人日验证本地运行、中文化、权限改造和关键数据模型，再决定是否调整技术路线。</w:t>
      </w:r>
    </w:p>
    <w:p>
      <w:r>
        <w:t>Habitica的许可文件将代码与素材分开列出，部分HabitRPG素材采用含非商业条件的许可；不能把“仓库开源”理解为代码、图像和品牌均可不受条件使用。</w:t>
      </w:r>
      <w:hyperlink r:id="rId17">
        <w:r>
          <w:rPr>
            <w:rFonts w:ascii="DejaVu Sans" w:hAnsi="DejaVu Sans" w:cs="DejaVu Sans" w:eastAsia="Droid Sans Fallback"/>
            <w:color w:val="245B78"/>
            <w:sz w:val="18"/>
          </w:rPr>
          <w:t>[S4]</w:t>
        </w:r>
      </w:hyperlink>
    </w:p>
    <w:p>
      <w:bookmarkStart w:id="13" w:name="section_13"/>
      <w:pPr>
        <w:pStyle w:val="Heading1"/>
      </w:pPr>
      <w:r>
        <w:t>13 未成年人数据与安全设计</w:t>
      </w:r>
      <w:bookmarkEnd w:id="13"/>
    </w:p>
    <w:p>
      <w:pPr>
        <w:pStyle w:val="Heading2"/>
      </w:pPr>
      <w:r>
        <w:t>13.1 授权与最小化收集</w:t>
      </w:r>
    </w:p>
    <w:p>
      <w:r>
        <w:t>按面向中国大陆家庭的产品进行设计。《个人信息保护法》将不满14岁未成年人的个人信息列为敏感个人信息，并规定相应监护人同意及专门处理规则。开通流程需要独立呈现适用的告知、必要性与授权内容，保留规则版本及同意记录。</w:t>
      </w:r>
      <w:hyperlink r:id="rId10">
        <w:r>
          <w:rPr>
            <w:rFonts w:ascii="DejaVu Sans" w:hAnsi="DejaVu Sans" w:cs="DejaVu Sans" w:eastAsia="Droid Sans Fallback"/>
            <w:color w:val="245B78"/>
            <w:sz w:val="18"/>
          </w:rPr>
          <w:t>[S5]</w:t>
        </w:r>
      </w:hyperlink>
    </w:p>
    <w:p>
      <w:r>
        <w:t>《儿童个人信息网络保护规定》涉及专门规则、明确告知、最小授权、删除和第三方处理等要求。上线前应指定实际负责人员，核定授权方式与数据处理清单；一个勾选框不能代替完整流程。</w:t>
      </w:r>
      <w:hyperlink r:id="rId18">
        <w:r>
          <w:rPr>
            <w:rFonts w:ascii="DejaVu Sans" w:hAnsi="DejaVu Sans" w:cs="DejaVu Sans" w:eastAsia="Droid Sans Fallback"/>
            <w:color w:val="245B78"/>
            <w:sz w:val="18"/>
          </w:rPr>
          <w:t>[S6]</w:t>
        </w:r>
      </w:hyperlink>
    </w:p>
    <w:p>
      <w:r>
        <w:t>以下保留期和处理目标是项目拟定值，需要结合实际必要性与适用要求确定后再写入对外规则。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数据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首期处理方式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生命周期建议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登录凭证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验证码只用于验证，日志脱敏，限频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按短时有效期处理，不保存明文凭证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学生档案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昵称、内置头像、年龄段、年级和时区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有效服务期间保留，支持更正和删除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任务记录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仅在授权档案范围内访问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可导出、按需删除，长期无使用时提示清理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复盘正文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默认学生个人可见，可主动分享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删除与撤回分享均有明确入口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会话与设备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加密传输，服务端撤销，限制缓存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登出或撤销后停止同步并清理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照片附件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P1启用，私有对象、去除EXIF、限制类型大小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用户删除后进入清理任务，建议7天内清除在线副本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业务分析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使用匿名或去标识汇总，不采集正文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原始事件建议90天后删除或汇总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安全与操作日志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记录必要摘要，不记录令牌或儿童正文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依据适用要求单独确定保留期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备份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加密、限制访问、轮转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建议最长30天轮转，恢复时重放删除记录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13.2 数据访问与撤销</w:t>
      </w:r>
    </w:p>
    <w:p>
      <w:r>
        <w:t>每个对象级接口验证当前学生权限；导出、上传签名、通知发送和后台任务也必须检查。撤销监护关系或设备授权后，旧会话立即失效，新的下载地址不再签发。</w:t>
      </w:r>
    </w:p>
    <w:p>
      <w:r>
        <w:t>P1文件读取优先由鉴权代理控制，或采用不超过数分钟的短期签名链接。界面需明确短期链接在有效期内的访问边界；高敏感内容不使用长期公开地址。公共UI素材与学生附件使用独立访问策略。</w:t>
      </w:r>
    </w:p>
    <w:p>
      <w:r>
        <w:t>导出与删除请求由有权主体发起并验证身份。建议在线数据删除目标为7天内完成，过程可查询；涉及必要保留的数据说明范围和依据。备份不能恢复已经删除的档案供业务继续使用。</w:t>
      </w:r>
    </w:p>
    <w:p>
      <w:pPr>
        <w:pStyle w:val="Heading2"/>
      </w:pPr>
      <w:r>
        <w:t>13.3 发布与第三方依赖</w:t>
      </w:r>
    </w:p>
    <w:p>
      <w:r>
        <w:t>发布前核验实际经营主体、部署地区、所选渠道的备案与审核要求，并检查登录、统计、短信、对象存储等第三方的数据处理范围。若未来增加公开发布或即时通讯，应重新评估身份、内容和未成年人保护要求。</w:t>
      </w:r>
      <w:hyperlink r:id="rId19">
        <w:r>
          <w:rPr>
            <w:rFonts w:ascii="DejaVu Sans" w:hAnsi="DejaVu Sans" w:cs="DejaVu Sans" w:eastAsia="Droid Sans Fallback"/>
            <w:color w:val="245B78"/>
            <w:sz w:val="18"/>
          </w:rPr>
          <w:t>[S7]</w:t>
        </w:r>
      </w:hyperlink>
    </w:p>
    <w:p>
      <w:r>
        <w:t>P0学习记录不发送给外部AI。P1如增加AI计划建议，应先提供用户可确认的脱敏摘要，明确用途与供应商处理边界，允许不用AI完成全部基础任务。建议仍需人工确认后才能写入计划。</w:t>
      </w:r>
    </w:p>
    <w:p>
      <w:r>
        <w:t>安全设计还包括管理员二次验证、接口限频、CSRF与XSS防护、依赖与密钥扫描、测试数据隔离、恢复演练，以及紧急撤销会话能力。它们作为验收条件，不以笼统的“已安全”代替检查结果。</w:t>
      </w:r>
    </w:p>
    <w:p>
      <w:bookmarkStart w:id="14" w:name="section_14"/>
      <w:pPr>
        <w:pStyle w:val="Heading1"/>
      </w:pPr>
      <w:r>
        <w:t>14 验收标准与测试计划</w:t>
      </w:r>
      <w:bookmarkEnd w:id="14"/>
    </w:p>
    <w:p>
      <w:pPr>
        <w:pStyle w:val="Heading2"/>
      </w:pPr>
      <w:r>
        <w:t>14.1 核心场景验收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2275"/>
        <w:gridCol w:w="6739"/>
      </w:tblGrid>
      <w:tr>
        <w:trPr>
          <w:cantSplit/>
          <w:tblHeader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场景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通过条件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未满14岁档案开通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必要授权完成前不创建正式学习记录；版本可追溯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学制与年级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六三、五四及自定义正确映射，升年级保留历史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重复任务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指定星期和起止日期准确，多次生成无重复实例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修改计划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仅本次与未来范围正确，完成记录不被覆盖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连续点击完成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多次提交只产生一条有效记录和一份奖励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T06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补记与撤销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日期窗口、来源标记、报告版本和奖励修正一致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T07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跨设备冲突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两端并发修改返回明确冲突，不静默覆盖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T08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跨天与时区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UTC存储、本地学习日、跨午夜时长正确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T09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后台与异常计时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锁屏返回和长离线需要确认，无自动完成任务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T10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家庭隔离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猜测ID无法访问其他孩子的任务、复盘或导出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T11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授权撤销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旧会话、未发提醒和待同步操作被正确阻止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T12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家长代录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保存真实操作人，学生端可识别代录来源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T13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删除与备份恢复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在线删除完成，恢复后不会重新开放已删除数据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T14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报告口径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无计划、改期、跳过、补记都与原记录可核对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T15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手机操作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360至430px不溢出，主要操作可触达且文字可读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pPr>
        <w:pStyle w:val="Heading2"/>
      </w:pPr>
      <w:r>
        <w:t>14.2 测试分层</w:t>
      </w:r>
    </w:p>
    <w:p>
      <w:r>
        <w:t>业务单元测试集中在重复规则、时间边界、状态转换、幂等和统计口径。数据库集成测试验证唯一约束、事务回滚、并发完成、授权撤销和跨档案越权。端到端测试覆盖监护人开通到学生完成、周复盘和删除申请的关键路径。</w:t>
      </w:r>
    </w:p>
    <w:p>
      <w:r>
        <w:t>界面做真实设备验证，至少覆盖常见Android浏览器、iPhone Safari和微信内置浏览器。日期筛选、软键盘、页面后台恢复、弱网和共用设备切换要人工确认。测试不承诺证明孩子实际专注，只验证记录和交互的正确性。</w:t>
      </w:r>
    </w:p>
    <w:p>
      <w:pPr>
        <w:pStyle w:val="Heading2"/>
      </w:pPr>
      <w:r>
        <w:t>14.3 性能与运行目标</w:t>
      </w:r>
    </w:p>
    <w:p>
      <w:r>
        <w:t>试点容量按约100个家庭预留。初始测试目标为100个活跃会话、读写混合访问时普通API的P95响应低于500毫秒；报告与导出采用异步处理。该目标需在记录清楚的测试资源与数据量下验证。</w:t>
      </w:r>
    </w:p>
    <w:p>
      <w:r>
        <w:t>建议初期恢复点目标为24小时内、恢复时间目标为4小时内。上线前实际执行一次备份恢复并记录结果。性能和恢复目标均为验收目标，不是未经部署验证的服务保证。</w:t>
      </w:r>
    </w:p>
    <w:p>
      <w:bookmarkStart w:id="15" w:name="section_15"/>
      <w:pPr>
        <w:pStyle w:val="Heading1"/>
      </w:pPr>
      <w:r>
        <w:t>15 试点与产品指标</w:t>
      </w:r>
      <w:bookmarkEnd w:id="15"/>
    </w:p>
    <w:p>
      <w:pPr>
        <w:pStyle w:val="Heading2"/>
      </w:pPr>
      <w:r>
        <w:t>15.1 试点安排</w:t>
      </w:r>
    </w:p>
    <w:p>
      <w:r>
        <w:t>建议邀请24个家庭进行14天试用：小学一至二年级4个，小学三至六年级12个，初中4个，高中4个。先用5个家庭完成引导与任务记录的可用性检查，再扩大到全部试点。招募和联系由项目负责人安排，本方案不自动发送邀请。</w:t>
      </w:r>
    </w:p>
    <w:p>
      <w:r>
        <w:t>第一次观察孩子能否选择模板、修改一项任务、开始学习并记录结果。第7天收集一次周复盘，第14天检查是否还愿意继续使用，并访谈孩子与家长各自认为有帮助或有压力的环节。</w:t>
      </w:r>
    </w:p>
    <w:p>
      <w:pPr>
        <w:pStyle w:val="Heading2"/>
      </w:pPr>
      <w:r>
        <w:t>15.2 指标定义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计算或观察方式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试点判断用途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首次成功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完成开通且创建并记录第一项任务的档案／已开通档案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判断引导是否复杂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第二周使用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第8至14天至少2个学习日有有效完成的档案／第一周活跃档案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判断是否有持续价值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自主制定比例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学生自主创建或明确确认的任务／全部新增任务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判断孩子是否参与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调整情况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改期、拆分、跳过的次数和原因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发现模板负担与安排问题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周复盘使用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提交简短复盘的档案／当周活跃档案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判断总结是否有用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催促变化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试用前后家长自报并结合访谈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仅作方向判断，不能证明因果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体验压力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孩子反馈被催促、被比较、奖励分心的情况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发现需要删减的设计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技术可靠性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提交失败、重复记录、同步冲突和越权问题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判断能否扩大试用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可暂用首次成功率70%、第二周使用比例50%作为内部讨论线。这些是试点假设，不是行业基准；小样本只用于发现问题。连续几天登录、累计在线时长和分享次数不作为产品主要成功指标。</w:t>
      </w:r>
    </w:p>
    <w:p>
      <w:pPr>
        <w:pStyle w:val="Heading2"/>
      </w:pPr>
      <w:r>
        <w:t>15.3 扩大范围的条件</w:t>
      </w:r>
    </w:p>
    <w:p>
      <w:r>
        <w:t>只有当主要流程可用、没有未处理的严重权限问题、失败数据可恢复，且孩子与家长均能说明实际价值时，才进入更多家庭试用。若主要问题是任务太多或家长代操作过重，先调整模板与协作方式，再增加功能。</w:t>
      </w:r>
    </w:p>
    <w:p>
      <w:bookmarkStart w:id="16" w:name="section_16"/>
      <w:pPr>
        <w:pStyle w:val="Heading1"/>
      </w:pPr>
      <w:r>
        <w:t>16 开发里程碑与工作量</w:t>
      </w:r>
      <w:bookmarkEnd w:id="16"/>
    </w:p>
    <w:p>
      <w:pPr>
        <w:pStyle w:val="Heading2"/>
      </w:pPr>
      <w:r>
        <w:t>16.1 分期交付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36"/>
        <w:gridCol w:w="3917"/>
        <w:gridCol w:w="1613"/>
        <w:gridCol w:w="352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工作量估算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交付门槛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M0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产品规则、关键页面、交互原型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5至7人日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核心流程与P0范围可审查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M1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仓库、登录、档案、授权、设备、数据库基础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6至8人日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档案隔离与授权流程通过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M2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计划规则、任务实例、完成记录、计时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10至14人日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T03至T09通过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M3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成长、周复盘、家长摘要和计划建议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5至7人日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报告可核对，协作路径完成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M4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后台、36个基础模板、设置和数据请求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7至10人日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内容可发布，数据可导出删除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M5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联调、设备、安全、性能、恢复与试点准备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9至12人日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核心验收项无阻断问题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391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P0完整试点版本</w:t>
            </w:r>
          </w:p>
        </w:tc>
        <w:tc>
          <w:tcPr>
            <w:tcW w:type="dxa" w:w="1613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42至58人日</w:t>
            </w:r>
          </w:p>
        </w:tc>
        <w:tc>
          <w:tcPr>
            <w:tcW w:type="dxa" w:w="35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可进入14天家庭试用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以上包含基础设计、模板编辑、实施与验收，不包含第三方审核等待、外部教育与法律审阅、原生应用、支付及大幅需求返工。实际排期应在M0结束时依据页面与接口数量重新校准。</w:t>
      </w:r>
    </w:p>
    <w:p>
      <w:r>
        <w:t>单名全职开发者承担主要工作的日历估算约9至12个工作周，再加2周试点；两名配合熟练的开发者可争取6至8周完成工程阶段，但认证、数据模型和联调存在顺序依赖，不能简单对半。上述日历估算尚未计入下一节的20%缓冲及外部等待时间。</w:t>
      </w:r>
    </w:p>
    <w:p>
      <w:pPr>
        <w:pStyle w:val="Heading2"/>
      </w:pPr>
      <w:r>
        <w:t>16.2 后续阶段</w:t>
      </w:r>
    </w:p>
    <w:p>
      <w:r>
        <w:t>P1根据试点结果选择微信小程序、照片记录、协作监护人、周频习惯和更完整的学期报告，不默认全部一起做。先解决首批家庭反馈最多且能明确验证的问题。</w:t>
      </w:r>
    </w:p>
    <w:p>
      <w:r>
        <w:t>P2再评估原生应用、大学模式、AI辅助拆计划、题目与内容服务、家庭订阅。AI、题库或付费不能挤占核心记录可靠性的修复工作。</w:t>
      </w:r>
    </w:p>
    <w:p>
      <w:pPr>
        <w:pStyle w:val="Heading2"/>
      </w:pPr>
      <w:r>
        <w:t>16.3 预算计算方式</w:t>
      </w:r>
    </w:p>
    <w:p>
      <w:r>
        <w:t>人力预算按“42至58人日×实际综合人日成本”测算，再预留约20%的需求与兼容性缓冲。该缓冲是项目估算，不是供应商报价。若由本人和AI工具完成，需要单独计入本人投入、测试设备和外部审阅成本。</w:t>
      </w:r>
    </w:p>
    <w:p>
      <w:r>
        <w:t>基础设施预算包含API运行、数据库、备份、域名、验证码、日志与监控。P0没有学习照片和AI调用，可减少按量费用。部署前按试点人数、地区与实际供应商重新询价，设置预算告警，不使用未经核验的云价格。</w:t>
      </w:r>
    </w:p>
    <w:p>
      <w:r>
        <w:t>P1照片容量可以按“家庭数×每家学生数×每日图片数×单图大小×保留天数”估算。例如100个家庭、每家1名学生、每天2张、每张0.5MB、保存30天，原图约3GB；流量、缩略图与备份另算。</w:t>
      </w:r>
    </w:p>
    <w:p>
      <w:bookmarkStart w:id="17" w:name="section_17"/>
      <w:pPr>
        <w:pStyle w:val="Heading1"/>
      </w:pPr>
      <w:r>
        <w:t>17 运营与商业化假设</w:t>
      </w:r>
      <w:bookmarkEnd w:id="17"/>
    </w:p>
    <w:p>
      <w:r>
        <w:t>首期免费试用，建立使用价值与服务反馈渠道。模板以原创的学习安排示例为主，明确适用学段、完成标准和可修改项。发布前检查可读性、任务负担、来源与版权，不将示例包装成未经验证的提分方案。</w:t>
      </w:r>
    </w:p>
    <w:p>
      <w:r>
        <w:t>后续可以保留基础计划、完成记录、简单成长报告和数据权利功能免费；付费候选包括更多家庭协作、个性化报告和跨设备便利功能。是否收费及价格在试点后通过家长访谈和真实成本确定。</w:t>
      </w:r>
    </w:p>
    <w:p>
      <w:r>
        <w:t>首期不接广告、奖励抽奖或付费补签。新增商业化也不得降低基础隐私、导出和删除能力。支付、订阅续费与退款需要独立产品规则和技术审查后再开发。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风险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早期信号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应对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只签到不学习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记录频繁但说不出完成内容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强化明确标准和简短成果记录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家长变成唯一操作者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自主制定比例低，孩子只被通知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调整共同制定流程，减少强制任务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覆盖学段过多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模板与页面维护失控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保留分类，集中验证主要人群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数据可信度混淆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自报记录被当成真实能力评价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清楚标记来源，不作能力排名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功能持续膨胀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AI、题库、商城先于核心流程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通过P0清单和验收门槛控制范围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上线成本失控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图片、通知或调用量高于预期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分阶段启用，配额和费用告警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bookmarkStart w:id="18" w:name="section_18"/>
      <w:pPr>
        <w:pStyle w:val="Heading1"/>
      </w:pPr>
      <w:r>
        <w:t>18 开发协作与首批任务</w:t>
      </w:r>
      <w:bookmarkEnd w:id="18"/>
    </w:p>
    <w:p>
      <w:pPr>
        <w:pStyle w:val="Heading2"/>
      </w:pPr>
      <w:r>
        <w:t>18.1 Cursor 与 Codex 分工</w:t>
      </w:r>
    </w:p>
    <w:p>
      <w:r>
        <w:t>Codex负责产品梳理、技术设计和必要审查，Cursor按已经明确的任务实现代码、执行测试和日常Git操作。方案已明确的模块不要求两个工具重复进行架构分析。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816"/>
        <w:gridCol w:w="4421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工作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建议工具与模型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输出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UI整理与一般功能梳理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Codex GPT 5.6 Luna，中等推理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页面与交互约束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跨模块设计与API审查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Codex GPT 5.6 Terra，高推理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数据关系、接口、范围与验收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数据迁移、权限与生产安全审查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Codex GPT 5.6 Sol，极高推理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风险结论、修正点与验证要求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明确方案的代码实现与测试</w:t>
            </w:r>
          </w:p>
        </w:tc>
        <w:tc>
          <w:tcPr>
            <w:tcW w:type="dxa" w:w="381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Cursor Grok 4.6 High Fast</w:t>
            </w:r>
          </w:p>
        </w:tc>
        <w:tc>
          <w:tcPr>
            <w:tcW w:type="dxa" w:w="442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修改、验证和交接报告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这是后续任务的工具分配建议。开发任务必须附带实际工作目录、当前分支与HEAD、允许和禁止修改的范围、测试要求，以及commit、push、部署授权情况。新仓库尚未建立时，不用占位的目录和分支假装已经核验。</w:t>
      </w:r>
    </w:p>
    <w:p>
      <w:pPr>
        <w:pStyle w:val="Heading2"/>
      </w:pPr>
      <w:r>
        <w:t>18.2 首批任务单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79"/>
        <w:gridCol w:w="2275"/>
        <w:gridCol w:w="6739"/>
      </w:tblGrid>
      <w:tr>
        <w:trPr>
          <w:cantSplit/>
          <w:tblHeader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/>
                <w:sz w:val="20"/>
              </w:rPr>
              <w:t>编号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任务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DCE7F0"/>
          </w:tcPr>
          <w:p>
            <w:pPr>
              <w:keepNext w:val="0"/>
              <w:spacing w:line="274" w:lineRule="auto" w:after="0" w:before="0"/>
            </w:pPr>
            <w:r>
              <w:rPr>
                <w:b/>
                <w:sz w:val="20"/>
              </w:rPr>
              <w:t>完成定义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001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固定P0规则与页面清单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状态、计时、补记、权限和范围统一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002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关键页面高保真与状态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第8章优先页面及异常状态可评审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003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独立仓库与CI基础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安装、类型检查、测试、构建可运行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004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档案与授权基础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多档案隔离、配对、撤销和同意记录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005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学段与模板种子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六三及五四映射、36个模板可预览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006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计划与任务生成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重复、暂停、范围编辑和唯一约束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007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完成与计时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幂等、跨天、补记、撤销与异常恢复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008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报告与家庭协作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统计可核对、建议可回应、可见范围正确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009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后台与数据权利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模板发布、导出、删除、审计可追溯</w:t>
            </w:r>
          </w:p>
        </w:tc>
      </w:tr>
      <w:tr>
        <w:trPr>
          <w:cantSplit/>
        </w:trPr>
        <w:tc>
          <w:tcPr>
            <w:tcW w:type="dxa" w:w="97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  <w:jc w:val="center"/>
            </w:pPr>
            <w:r>
              <w:rPr>
                <w:b w:val="0"/>
                <w:sz w:val="20"/>
              </w:rPr>
              <w:t>STP 010</w:t>
            </w:r>
          </w:p>
        </w:tc>
        <w:tc>
          <w:tcPr>
            <w:tcW w:type="dxa" w:w="227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试点发布准备</w:t>
            </w:r>
          </w:p>
        </w:tc>
        <w:tc>
          <w:tcPr>
            <w:tcW w:type="dxa" w:w="673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5F8FA"/>
          </w:tcPr>
          <w:p>
            <w:pPr>
              <w:keepNext w:val="0"/>
              <w:spacing w:line="274" w:lineRule="auto" w:after="0" w:before="0"/>
            </w:pPr>
            <w:r>
              <w:rPr>
                <w:b w:val="0"/>
                <w:sz w:val="20"/>
              </w:rPr>
              <w:t>关键测试、恢复演练、用户引导通过</w:t>
            </w:r>
          </w:p>
        </w:tc>
      </w:tr>
    </w:tbl>
    <w:p>
      <w:pPr>
        <w:spacing w:after="40" w:before="0" w:line="60" w:lineRule="exact"/>
      </w:pPr>
      <w:r>
        <w:rPr>
          <w:sz w:val="6"/>
        </w:rPr>
      </w:r>
    </w:p>
    <w:p>
      <w:r>
        <w:t>建议先完成STP 001和STP 002，再冻结第一轮接口。生产环境创建、发布、真实用户数据迁移和收费开通均属于后续实施动作，本方案本身不执行这些操作。</w:t>
      </w:r>
    </w:p>
    <w:p>
      <w:pPr>
        <w:pStyle w:val="Heading2"/>
      </w:pPr>
      <w:r>
        <w:t>18.3 文档与验收报告</w:t>
      </w:r>
    </w:p>
    <w:p>
      <w:r>
        <w:t>仓库应维护docs/PRODUCT_SCOPE.md、docs/BUSINESS_RULES.md、docs/PAGES.md、docs/DATA_MODEL.md、docs/API.md、docs/ACCEPTANCE.md与docs/CURRENT_STATUS.md。文档记录决策和完成证据，不堆积相互矛盾的平行方案。</w:t>
      </w:r>
    </w:p>
    <w:p>
      <w:r>
        <w:t>每次实施报告包含任务编号、分支与前后HEAD、改动原因、修改文件、用户可见变化、数据库迁移与回滚情况、实际执行的测试及结果、保留的已有改动、未解决问题。未执行的测试标为未执行，不能写成通过。</w:t>
      </w:r>
    </w:p>
    <w:p>
      <w:r>
        <w:t>本方案的默认方向可以直接进入交互设计和任务拆分。正式开发前需最终确定的业务项为品牌名称、经营与隐私责任主体、首批家庭实际入口，以及可投入的开发人力；它们不影响先完善页面与纯业务规则。</w:t>
      </w:r>
    </w:p>
    <w:p>
      <w:bookmarkStart w:id="19" w:name="section_19"/>
      <w:pPr>
        <w:pStyle w:val="Heading1"/>
      </w:pPr>
      <w:r>
        <w:t>19 参考资料</w:t>
      </w:r>
      <w:bookmarkEnd w:id="19"/>
    </w:p>
    <w:p>
      <w:r>
        <w:t>资料核验日期为2026年9月13日。仓库功能及许可证描述依据项目公开说明，产品适配建议为本方案的工程判断。</w:t>
      </w:r>
    </w:p>
    <w:p>
      <w:pPr>
        <w:spacing w:after="180"/>
      </w:pPr>
      <w:r>
        <w:t xml:space="preserve">[S1] </w:t>
      </w:r>
      <w:hyperlink r:id="rId14">
        <w:r>
          <w:rPr>
            <w:rFonts w:ascii="DejaVu Sans" w:hAnsi="DejaVu Sans" w:cs="DejaVu Sans" w:eastAsia="Droid Sans Fallback"/>
            <w:color w:val="245B78"/>
          </w:rPr>
          <w:t>Helium 前端官方仓库</w:t>
        </w:r>
      </w:hyperlink>
    </w:p>
    <w:p>
      <w:pPr>
        <w:spacing w:after="180"/>
      </w:pPr>
      <w:r>
        <w:t xml:space="preserve">[S2] </w:t>
      </w:r>
      <w:hyperlink r:id="rId15">
        <w:r>
          <w:rPr>
            <w:rFonts w:ascii="DejaVu Sans" w:hAnsi="DejaVu Sans" w:cs="DejaVu Sans" w:eastAsia="Droid Sans Fallback"/>
            <w:color w:val="245B78"/>
          </w:rPr>
          <w:t>Helium 后端官方仓库</w:t>
        </w:r>
      </w:hyperlink>
    </w:p>
    <w:p>
      <w:pPr>
        <w:spacing w:after="180"/>
      </w:pPr>
      <w:r>
        <w:t xml:space="preserve">[S3] </w:t>
      </w:r>
      <w:hyperlink r:id="rId16">
        <w:r>
          <w:rPr>
            <w:rFonts w:ascii="DejaVu Sans" w:hAnsi="DejaVu Sans" w:cs="DejaVu Sans" w:eastAsia="Droid Sans Fallback"/>
            <w:color w:val="245B78"/>
          </w:rPr>
          <w:t>Loop Habit Tracker 官方仓库</w:t>
        </w:r>
      </w:hyperlink>
    </w:p>
    <w:p>
      <w:pPr>
        <w:spacing w:after="180"/>
      </w:pPr>
      <w:r>
        <w:t xml:space="preserve">[S4] </w:t>
      </w:r>
      <w:hyperlink r:id="rId17">
        <w:r>
          <w:rPr>
            <w:rFonts w:ascii="DejaVu Sans" w:hAnsi="DejaVu Sans" w:cs="DejaVu Sans" w:eastAsia="Droid Sans Fallback"/>
            <w:color w:val="245B78"/>
          </w:rPr>
          <w:t>Habitica 许可证文件</w:t>
        </w:r>
      </w:hyperlink>
    </w:p>
    <w:p>
      <w:pPr>
        <w:spacing w:after="180"/>
      </w:pPr>
      <w:r>
        <w:t xml:space="preserve">[S5] </w:t>
      </w:r>
      <w:hyperlink r:id="rId10">
        <w:r>
          <w:rPr>
            <w:rFonts w:ascii="DejaVu Sans" w:hAnsi="DejaVu Sans" w:cs="DejaVu Sans" w:eastAsia="Droid Sans Fallback"/>
            <w:color w:val="245B78"/>
          </w:rPr>
          <w:t>中华人民共和国个人信息保护法</w:t>
        </w:r>
      </w:hyperlink>
    </w:p>
    <w:p>
      <w:pPr>
        <w:spacing w:after="180"/>
      </w:pPr>
      <w:r>
        <w:t xml:space="preserve">[S6] </w:t>
      </w:r>
      <w:hyperlink r:id="rId18">
        <w:r>
          <w:rPr>
            <w:rFonts w:ascii="DejaVu Sans" w:hAnsi="DejaVu Sans" w:cs="DejaVu Sans" w:eastAsia="Droid Sans Fallback"/>
            <w:color w:val="245B78"/>
          </w:rPr>
          <w:t>儿童个人信息网络保护规定</w:t>
        </w:r>
      </w:hyperlink>
    </w:p>
    <w:p>
      <w:pPr>
        <w:spacing w:after="180"/>
      </w:pPr>
      <w:r>
        <w:t xml:space="preserve">[S7] </w:t>
      </w:r>
      <w:hyperlink r:id="rId19">
        <w:r>
          <w:rPr>
            <w:rFonts w:ascii="DejaVu Sans" w:hAnsi="DejaVu Sans" w:cs="DejaVu Sans" w:eastAsia="Droid Sans Fallback"/>
            <w:color w:val="245B78"/>
          </w:rPr>
          <w:t>未成年人网络保护条例</w:t>
        </w:r>
      </w:hyperlink>
    </w:p>
    <w:p>
      <w:pPr>
        <w:spacing w:after="180"/>
      </w:pPr>
      <w:r>
        <w:t xml:space="preserve">[S8] </w:t>
      </w:r>
      <w:hyperlink r:id="rId11">
        <w:r>
          <w:rPr>
            <w:rFonts w:ascii="DejaVu Sans" w:hAnsi="DejaVu Sans" w:cs="DejaVu Sans" w:eastAsia="Droid Sans Fallback"/>
            <w:color w:val="245B78"/>
          </w:rPr>
          <w:t>MDN Page Visibility API</w:t>
        </w:r>
      </w:hyperlink>
    </w:p>
    <w:p>
      <w:pPr>
        <w:spacing w:after="180"/>
      </w:pPr>
      <w:r>
        <w:t xml:space="preserve">[S9] </w:t>
      </w:r>
      <w:hyperlink r:id="rId12">
        <w:r>
          <w:rPr>
            <w:rFonts w:ascii="DejaVu Sans" w:hAnsi="DejaVu Sans" w:cs="DejaVu Sans" w:eastAsia="Droid Sans Fallback"/>
            <w:color w:val="245B78"/>
          </w:rPr>
          <w:t>NestJS 官方文档</w:t>
        </w:r>
      </w:hyperlink>
    </w:p>
    <w:p>
      <w:pPr>
        <w:spacing w:after="180"/>
      </w:pPr>
      <w:r>
        <w:t xml:space="preserve">[S10] </w:t>
      </w:r>
      <w:hyperlink r:id="rId13">
        <w:r>
          <w:rPr>
            <w:rFonts w:ascii="DejaVu Sans" w:hAnsi="DejaVu Sans" w:cs="DejaVu Sans" w:eastAsia="Droid Sans Fallback"/>
            <w:color w:val="245B78"/>
          </w:rPr>
          <w:t>Vite 官方文档</w:t>
        </w:r>
      </w:hyperlink>
    </w:p>
    <w:sectPr w:rsidR="00FC693F" w:rsidRPr="0006063C" w:rsidSect="00034616">
      <w:footerReference w:type="default" r:id="rId9"/>
      <w:pgSz w:w="12240" w:h="15840"/>
      <w:pgMar w:top="1008" w:right="1123" w:bottom="1008" w:left="1123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140"/>
    </w:pPr>
    <w:rPr>
      <w:rFonts w:ascii="DejaVu Sans" w:hAnsi="DejaVu Sans" w:cs="DejaVu Sans" w:eastAsia="Droid Sans Fallback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83" w:lineRule="auto"/>
      <w:outlineLvl w:val="0"/>
    </w:pPr>
    <w:rPr>
      <w:rFonts w:ascii="DejaVu Sans" w:hAnsi="DejaVu Sans" w:cs="DejaVu Sans" w:eastAsia="Droid Sans Fallback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20" w:after="120" w:line="283" w:lineRule="auto"/>
      <w:outlineLvl w:val="1"/>
    </w:pPr>
    <w:rPr>
      <w:rFonts w:ascii="DejaVu Sans" w:hAnsi="DejaVu Sans" w:cs="DejaVu Sans" w:eastAsia="Droid Sans Fallback"/>
      <w:b/>
      <w:bCs/>
      <w:i w:val="0"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100" w:line="283" w:lineRule="auto"/>
      <w:outlineLvl w:val="2"/>
    </w:pPr>
    <w:rPr>
      <w:rFonts w:ascii="DejaVu Sans" w:hAnsi="DejaVu Sans" w:cs="DejaVu Sans" w:eastAsia="Droid Sans Fallback"/>
      <w:b/>
      <w:bCs/>
      <w:i w:val="0"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240" w:line="283" w:lineRule="auto" w:before="0"/>
    </w:pPr>
    <w:rPr>
      <w:rFonts w:ascii="DejaVu Sans" w:hAnsi="DejaVu Sans" w:cs="DejaVu Sans" w:eastAsia="Droid Sans Fallback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spacing w:line="283" w:lineRule="auto" w:after="160" w:before="0"/>
    </w:pPr>
    <w:rPr>
      <w:rFonts w:ascii="DejaVu Sans" w:hAnsi="DejaVu Sans" w:cs="DejaVu Sans" w:eastAsia="Droid Sans Fallback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spacing w:line="283" w:lineRule="auto" w:after="120"/>
    </w:pPr>
    <w:rPr>
      <w:rFonts w:ascii="DejaVu Sans" w:hAnsi="DejaVu Sans" w:cs="DejaVu Sans" w:eastAsia="Droid Sans Fallback"/>
      <w:i w:val="0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cac.gov.cn/2021-08/20/c_1631050028355286.htm" TargetMode="External"/><Relationship Id="rId11" Type="http://schemas.openxmlformats.org/officeDocument/2006/relationships/hyperlink" Target="https://developer.mozilla.org/en-US/docs/Web/API/Page_Visibility_API" TargetMode="External"/><Relationship Id="rId12" Type="http://schemas.openxmlformats.org/officeDocument/2006/relationships/hyperlink" Target="https://docs.nestjs.com/" TargetMode="External"/><Relationship Id="rId13" Type="http://schemas.openxmlformats.org/officeDocument/2006/relationships/hyperlink" Target="https://vite.dev/guide/" TargetMode="External"/><Relationship Id="rId14" Type="http://schemas.openxmlformats.org/officeDocument/2006/relationships/hyperlink" Target="https://github.com/HeliumEdu/frontend" TargetMode="External"/><Relationship Id="rId15" Type="http://schemas.openxmlformats.org/officeDocument/2006/relationships/hyperlink" Target="https://github.com/HeliumEdu/platform" TargetMode="External"/><Relationship Id="rId16" Type="http://schemas.openxmlformats.org/officeDocument/2006/relationships/hyperlink" Target="https://github.com/iSoron/uhabits" TargetMode="External"/><Relationship Id="rId17" Type="http://schemas.openxmlformats.org/officeDocument/2006/relationships/hyperlink" Target="https://github.com/HabitRPG/habitica/blob/develop/LICENSE" TargetMode="External"/><Relationship Id="rId18" Type="http://schemas.openxmlformats.org/officeDocument/2006/relationships/hyperlink" Target="https://www.cac.gov.cn/2019-08/23/c_1124913903.htm" TargetMode="External"/><Relationship Id="rId19" Type="http://schemas.openxmlformats.org/officeDocument/2006/relationships/hyperlink" Target="https://www.cac.gov.cn/2023-10/24/c_1699806932316206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学生自主学习应用项目方案</dc:title>
  <dc:subject>产品规划与开发交接方案</dc:subject>
  <dc:creator/>
  <cp:keywords>学生 学习计划 自主学习 年级 打卡 项目方案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