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神经美容：从「皮肤有神经」到「神经可被配方安抚」</w:t>
      </w:r>
    </w:p>
    <w:p>
      <w:r>
        <w:rPr>
          <w:i/>
        </w:rPr>
        <w:t>TRPV1 / 神经肽 / β-内啡肽三大通路如何变成可落地的舒缓抗敏配方，工程师与产品经理双视角拆解</w:t>
      </w:r>
    </w:p>
    <w:p>
      <w:r>
        <w:t>日期：2026-10-28　第 1/15 期　主题：神经美容</w:t>
      </w:r>
    </w:p>
    <w:p>
      <w:r>
        <w:rPr>
          <w:b/>
        </w:rPr>
        <w:t xml:space="preserve">一句话结论（双视角）: </w:t>
      </w:r>
      <w:r>
        <w:t>敏感肌的本质不只是「屏障漏了」，更是「神经弦绷得太紧」：神经血管高反应性导致刺痛、泛红被放大。对工程师，意味着在修屏障脂质之外要加上「调低神经反应」的活性组合；对产品经理，意味着「即刻舒缓 + 提耐受阈值」是一个有真实分子机制背书、但宣称边界很窄的赛道。</w:t>
      </w:r>
    </w:p>
    <w:p>
      <w:pPr>
        <w:pStyle w:val="Heading1"/>
      </w:pPr>
      <w:r>
        <w:t>一、机理：皮肤是一张神经-免疫-内分泌网络</w:t>
      </w:r>
    </w:p>
    <w:p>
      <w:r>
        <w:t>皮肤不是被动屏障，而是一个「神经免疫内分泌界面」：感觉神经末梢密集分布于表皮与真皮交界处，通过 TRP 离子通道（TRPV1、TRPA1、TRPM8）、神经肽（P 物质 Substance P、降钙素基因相关肽 CGRP）、POMC 衍生肽（α-MSH、β-内啡肽）与免疫细胞、角质形成细胞持续对话。慢性压力下，皮质醇破坏表皮脂质合成、交感神经激活加剧血管扩张、神经末梢过量释放 P 物质与 CGRP，导致免疫细胞过度反应——表现就是泛红、刺痛、瘙痒与修复延迟。这形成「皮肤症状 ⇄ 情绪压力」的自我强化循环，而神经美容的定位正是打断这个循环：调节神经输入，而不是粗暴压制免疫。</w:t>
      </w:r>
    </w:p>
    <w:p>
      <w:pPr>
        <w:pStyle w:val="ListBullet"/>
      </w:pPr>
      <w:r>
        <w:t>TRPV1 通道：介导热感、灼痛与神经源性炎症，过度激活是敏感肌刺痛的核心开关；低剂量辣椒素反而可使其脱敏。</w:t>
      </w:r>
    </w:p>
    <w:p>
      <w:pPr>
        <w:pStyle w:val="ListBullet"/>
      </w:pPr>
      <w:r>
        <w:t>11β-HSD1 酶：把无活性的可的松转化为活性皮质醇，局部过量会损伤皮肤结构；抑制它可改善紧致度与弹性。</w:t>
      </w:r>
    </w:p>
    <w:p>
      <w:pPr>
        <w:pStyle w:val="ListBullet"/>
      </w:pPr>
      <w:r>
        <w:t>POMC / β-内啡肽轴：促进内啡肽释放的成分（如促进 POMC 表达的乙酰基二肽-1 鲸蜡酯）带来「舒适感」的生理学基础。</w:t>
      </w:r>
    </w:p>
    <w:p>
      <w:pPr>
        <w:pStyle w:val="ListBullet"/>
      </w:pPr>
      <w:r>
        <w:t>CB1/CB2 大麻素受体：调节皮脂、炎症与免疫耐受；嗅觉-边缘系统通路（薰衣草/依兰精油）则走 GABA 途径影响情绪与睡眠。</w:t>
      </w:r>
    </w:p>
    <w:p>
      <w:pPr>
        <w:pStyle w:val="Heading1"/>
      </w:pPr>
      <w:r>
        <w:t>二、前沿证据（2025–2026）</w:t>
      </w:r>
    </w:p>
    <w:p>
      <w:pPr>
        <w:pStyle w:val="ListBullet"/>
      </w:pPr>
      <w:r>
        <w:t>MDPI Cosmetics 2025 综述系统梳理了神经皮肤受体（TRPV1、5-羟色胺能、多巴胺能、褪黑素能受体）与 FOXO/KLOTHO 长寿通路的协同作用，把神经美容定义为「同时作用于皮肤-大脑-情绪轴」的功能性品类。</w:t>
      </w:r>
    </w:p>
    <w:p>
      <w:pPr>
        <w:pStyle w:val="ListBullet"/>
      </w:pPr>
      <w:r>
        <w:t>神经肽系统综述（Zenodo 2025）：乙酰基六肽-8 临床显示约 60% 皱纹改善；α-MSH/TRPV1 拮抗路径红斑平均降低约 45%；纳米载体与微针技术正在解决神经肽透皮与生物利用度难题。</w:t>
      </w:r>
    </w:p>
    <w:p>
      <w:pPr>
        <w:pStyle w:val="ListBullet"/>
      </w:pPr>
      <w:r>
        <w:t>中文临床数据：4-叔丁基环己醇（TRPV1 拮抗剂）用于中国敏感肌人群，即刻不适缓解率超 90%，连续 21 天刺痛与红斑明显改善；含乙酰基二肽-1 鲸蜡酯（Neurosensine）面霜在半脸对照中显著改善玫瑰痤疮相关红斑。</w:t>
      </w:r>
    </w:p>
    <w:p>
      <w:pPr>
        <w:pStyle w:val="ListBullet"/>
      </w:pPr>
      <w:r>
        <w:t>2026 上游趋势：神经酰胺 EOP 等改性屏障脂质新原料备案翻倍，「仿生脂质复配 + 神经舒缓肽」成为头部品牌敏感肌新品标配；环肽、植物外囊泡领跑新原料备案。</w:t>
      </w:r>
    </w:p>
    <w:p>
      <w:pPr>
        <w:pStyle w:val="Heading1"/>
      </w:pPr>
      <w:r>
        <w:t>三、配方落地：靶点 → 原料 → 添加量 → 配伍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作用靶点</w:t>
            </w:r>
          </w:p>
        </w:tc>
        <w:tc>
          <w:tcPr>
            <w:tcW w:type="dxa" w:w="2160"/>
          </w:tcPr>
          <w:p>
            <w:r>
              <w:t>代表性原料（INCI）</w:t>
            </w:r>
          </w:p>
        </w:tc>
        <w:tc>
          <w:tcPr>
            <w:tcW w:type="dxa" w:w="2160"/>
          </w:tcPr>
          <w:p>
            <w:r>
              <w:t>建议添加量</w:t>
            </w:r>
          </w:p>
        </w:tc>
        <w:tc>
          <w:tcPr>
            <w:tcW w:type="dxa" w:w="2160"/>
          </w:tcPr>
          <w:p>
            <w:r>
              <w:t>配伍 / pH / 稳定要点</w:t>
            </w:r>
          </w:p>
        </w:tc>
      </w:tr>
      <w:tr>
        <w:tc>
          <w:tcPr>
            <w:tcW w:type="dxa" w:w="2160"/>
          </w:tcPr>
          <w:p>
            <w:r>
              <w:t>TRPV1 拮抗（降刺痛）</w:t>
            </w:r>
          </w:p>
        </w:tc>
        <w:tc>
          <w:tcPr>
            <w:tcW w:type="dxa" w:w="2160"/>
          </w:tcPr>
          <w:p>
            <w:r>
              <w:t>4-叔丁基环己醇（4-t-Butylcyclohexanol / SymSitive）</w:t>
            </w:r>
          </w:p>
        </w:tc>
        <w:tc>
          <w:tcPr>
            <w:tcW w:type="dxa" w:w="2160"/>
          </w:tcPr>
          <w:p>
            <w:r>
              <w:t>0.1%–0.5%，即刻舒缓可用至 1%</w:t>
            </w:r>
          </w:p>
        </w:tc>
        <w:tc>
          <w:tcPr>
            <w:tcW w:type="dxa" w:w="2160"/>
          </w:tcPr>
          <w:p>
            <w:r>
              <w:t xml:space="preserve"> pH 4.5–6.5 均稳；与积雪草苷、β-葡聚糖复配协同；避免与高浓度酸类同时猛加</w:t>
            </w:r>
          </w:p>
        </w:tc>
      </w:tr>
      <w:tr>
        <w:tc>
          <w:tcPr>
            <w:tcW w:type="dxa" w:w="2160"/>
          </w:tcPr>
          <w:p>
            <w:r>
              <w:t>POMC / β-内啡肽（提舒适阈值）</w:t>
            </w:r>
          </w:p>
        </w:tc>
        <w:tc>
          <w:tcPr>
            <w:tcW w:type="dxa" w:w="2160"/>
          </w:tcPr>
          <w:p>
            <w:r>
              <w:t>乙酰基二肽-1 鲸蜡酯（Acetyl Dipeptide-1 Cetyl Ester）</w:t>
            </w:r>
          </w:p>
        </w:tc>
        <w:tc>
          <w:tcPr>
            <w:tcW w:type="dxa" w:w="2160"/>
          </w:tcPr>
          <w:p>
            <w:r>
              <w:t>0.5%–2%</w:t>
            </w:r>
          </w:p>
        </w:tc>
        <w:tc>
          <w:tcPr>
            <w:tcW w:type="dxa" w:w="2160"/>
          </w:tcPr>
          <w:p>
            <w:r>
              <w:t>亲脂肽，需油相增溶或包裹；避强氧化剂；可上调 AQP3、FLG 兼修屏障</w:t>
            </w:r>
          </w:p>
        </w:tc>
      </w:tr>
      <w:tr>
        <w:tc>
          <w:tcPr>
            <w:tcW w:type="dxa" w:w="2160"/>
          </w:tcPr>
          <w:p>
            <w:r>
              <w:t>NF-κB / IL-8 抗炎</w:t>
            </w:r>
          </w:p>
        </w:tc>
        <w:tc>
          <w:tcPr>
            <w:tcW w:type="dxa" w:w="2160"/>
          </w:tcPr>
          <w:p>
            <w:r>
              <w:t>棕榈酰三肽-8（Palmitoyl Tripeptide-8，模拟 α-MSH）</w:t>
            </w:r>
          </w:p>
        </w:tc>
        <w:tc>
          <w:tcPr>
            <w:tcW w:type="dxa" w:w="2160"/>
          </w:tcPr>
          <w:p>
            <w:r>
              <w:t>0.001%–0.05%（极低有效量）</w:t>
            </w:r>
          </w:p>
        </w:tc>
        <w:tc>
          <w:tcPr>
            <w:tcW w:type="dxa" w:w="2160"/>
          </w:tcPr>
          <w:p>
            <w:r>
              <w:t>高活性低用量，避免与阳离子表活同体系；建议螯合剂+惰性气体灌装</w:t>
            </w:r>
          </w:p>
        </w:tc>
      </w:tr>
      <w:tr>
        <w:tc>
          <w:tcPr>
            <w:tcW w:type="dxa" w:w="2160"/>
          </w:tcPr>
          <w:p>
            <w:r>
              <w:t>SNARE / 表情纹（类肉毒肽）</w:t>
            </w:r>
          </w:p>
        </w:tc>
        <w:tc>
          <w:tcPr>
            <w:tcW w:type="dxa" w:w="2160"/>
          </w:tcPr>
          <w:p>
            <w:r>
              <w:t>乙酰基六肽-8（Acetyl Hexapeptide-8）</w:t>
            </w:r>
          </w:p>
        </w:tc>
        <w:tc>
          <w:tcPr>
            <w:tcW w:type="dxa" w:w="2160"/>
          </w:tcPr>
          <w:p>
            <w:r>
              <w:t>3%–10%（按原料商品浓度折算）</w:t>
            </w:r>
          </w:p>
        </w:tc>
        <w:tc>
          <w:tcPr>
            <w:tcW w:type="dxa" w:w="2160"/>
          </w:tcPr>
          <w:p>
            <w:r>
              <w:t>水溶性好，pH 4–7 稳定；与神经舒缓肽复配做「抗老×舒缓」双宣称</w:t>
            </w:r>
          </w:p>
        </w:tc>
      </w:tr>
      <w:tr>
        <w:tc>
          <w:tcPr>
            <w:tcW w:type="dxa" w:w="2160"/>
          </w:tcPr>
          <w:p>
            <w:r>
              <w:t>屏障脂质底盘</w:t>
            </w:r>
          </w:p>
        </w:tc>
        <w:tc>
          <w:tcPr>
            <w:tcW w:type="dxa" w:w="2160"/>
          </w:tcPr>
          <w:p>
            <w:r>
              <w:t>神经酰胺 NP/AP/EOP + 胆固醇 + 游离脂肪酸（约 3:1:1）</w:t>
            </w:r>
          </w:p>
        </w:tc>
        <w:tc>
          <w:tcPr>
            <w:tcW w:type="dxa" w:w="2160"/>
          </w:tcPr>
          <w:p>
            <w:r>
              <w:t>神经酰胺 0.1%–0.5% 复配体系</w:t>
            </w:r>
          </w:p>
        </w:tc>
        <w:tc>
          <w:tcPr>
            <w:tcW w:type="dxa" w:w="2160"/>
          </w:tcPr>
          <w:p>
            <w:r>
              <w:t>先铺脂质底盘再加神经活性物；EOP 渗透更优，适配医美后修护</w:t>
            </w:r>
          </w:p>
        </w:tc>
      </w:tr>
      <w:tr>
        <w:tc>
          <w:tcPr>
            <w:tcW w:type="dxa" w:w="2160"/>
          </w:tcPr>
          <w:p>
            <w:r>
              <w:t>即刻清凉感 / TRPM8</w:t>
            </w:r>
          </w:p>
        </w:tc>
        <w:tc>
          <w:tcPr>
            <w:tcW w:type="dxa" w:w="2160"/>
          </w:tcPr>
          <w:p>
            <w:r>
              <w:t>薄荷醇（低量）或薄荷氧基丙二醇</w:t>
            </w:r>
          </w:p>
        </w:tc>
        <w:tc>
          <w:tcPr>
            <w:tcW w:type="dxa" w:w="2160"/>
          </w:tcPr>
          <w:p>
            <w:r>
              <w:t>薄荷醇 ≤0.3% 或其温和替代物</w:t>
            </w:r>
          </w:p>
        </w:tc>
        <w:tc>
          <w:tcPr>
            <w:tcW w:type="dxa" w:w="2160"/>
          </w:tcPr>
          <w:p>
            <w:r>
              <w:t>避免叠加刺激；敏感专线建议用不含薄荷醇的清凉替代物</w:t>
            </w:r>
          </w:p>
        </w:tc>
      </w:tr>
    </w:tbl>
    <w:p>
      <w:r>
        <w:rPr>
          <w:b/>
        </w:rPr>
        <w:t xml:space="preserve">配方启示: </w:t>
      </w:r>
      <w:r>
        <w:t>神经活性物是「油门上的刹车」，不是单独成立的一辆车：先有神经酰胺/胆固醇/脂肪酸的仿生脂质底盘，再叠 1–2 个有临床数据的神经调节肽（如 4-叔丁基环己醇 + 乙酰基二肽-1），比堆十几种植物提取物更有效、更好过功效评价。</w:t>
      </w:r>
    </w:p>
    <w:p>
      <w:pPr>
        <w:pStyle w:val="Heading1"/>
      </w:pPr>
      <w:r>
        <w:t>四、市场沟通：把「机制」翻译成消费者语言</w:t>
      </w:r>
    </w:p>
    <w:p>
      <w:pPr>
        <w:pStyle w:val="ListBullet"/>
      </w:pPr>
      <w:r>
        <w:t>消费者痛点语言：「换季就泛红」「涂什么都刺」对应神经血管高反应性，可以讲「帮神经末梢降音量」而不是「修复神经」。</w:t>
      </w:r>
    </w:p>
    <w:p>
      <w:pPr>
        <w:pStyle w:val="ListBullet"/>
      </w:pPr>
      <w:r>
        <w:t>2026 年趋势语境：行业从「快速见效」转向「长期管理、温和维稳」，敏感肌赛道持续扩容，「轻负担、高耐受」产品更受市场欢迎——神经舒缓正是这个叙事的分子级支撑。</w:t>
      </w:r>
    </w:p>
    <w:p>
      <w:pPr>
        <w:pStyle w:val="ListBullet"/>
      </w:pPr>
      <w:r>
        <w:t>体验设计：β-内啡肽通路成分带来主观舒适感，「抹上去 30 秒刺痛感下降」是可被消费者自评量表验证的差异化卖点（临床常以 0–10 分主观评分降低 30%–40% 作为宣称依据）。</w:t>
      </w:r>
    </w:p>
    <w:p>
      <w:pPr>
        <w:pStyle w:val="ListBullet"/>
      </w:pPr>
      <w:r>
        <w:t>人群定位：熬夜压力肌、医美术后修护、刷酸过渡期、更年期敏感——四类人群共享「神经弦紧」的机制故事，一套底配方可延伸多条产品线。</w:t>
      </w:r>
    </w:p>
    <w:p>
      <w:pPr>
        <w:pStyle w:val="Heading1"/>
      </w:pPr>
      <w:r>
        <w:t>五、合规红线（中国 + 参考 EU）</w:t>
      </w:r>
    </w:p>
    <w:p>
      <w:pPr>
        <w:pStyle w:val="ListBullet"/>
      </w:pPr>
      <w:r>
        <w:t>不得宣称「调节神经系统」「镇静神经」「类肉毒素作用」等药理性表述；只能落在「舒缓」「修护屏障」「提升肌肤耐受」「缓解干燥引起的紧绷感」等化妆品功效范畴。</w:t>
      </w:r>
    </w:p>
    <w:p>
      <w:pPr>
        <w:pStyle w:val="ListBullet"/>
      </w:pPr>
      <w:r>
        <w:t>「即刻舒缓」需有人体功效测试支撑（如刺痛自评量表、乳酸刺痛试验），且功效宣称评价须按《化妆品功效宣称评价规范》备案留档。</w:t>
      </w:r>
    </w:p>
    <w:p>
      <w:pPr>
        <w:pStyle w:val="ListBullet"/>
      </w:pPr>
      <w:r>
        <w:t>EU 边界产品（borderline）风险提示：显著改变生理功能（如药理性干预胶原合成、神经递质代谢）的宣称有被重新归类的风险——文案避免「作用机制」级表述，讲「成分在皮肤表面的舒缓表现」。</w:t>
      </w:r>
    </w:p>
    <w:p>
      <w:pPr>
        <w:pStyle w:val="ListBullet"/>
      </w:pPr>
      <w:r>
        <w:t>新原料合规：使用国产/进口备案新原料（如新型神经酰胺、环肽）时，宣称范围与备案用途一致，不可超出已批准的使用目的与量。</w:t>
      </w:r>
    </w:p>
    <w:p>
      <w:pPr>
        <w:pStyle w:val="Heading1"/>
      </w:pPr>
      <w:r>
        <w:t>六、行动清单</w:t>
      </w:r>
    </w:p>
    <w:p>
      <w:pPr>
        <w:pStyle w:val="ListBullet"/>
      </w:pPr>
      <w:r>
        <w:t>工程师：下周先做「仿生脂质底盘（3:1:1）+ 4-叔丁基环己醇 0.5% + 乙酰基二肽-1 1%」的敏感肌精华小样，测乳酸刺痛与 TEWL。</w:t>
      </w:r>
    </w:p>
    <w:p>
      <w:pPr>
        <w:pStyle w:val="ListBullet"/>
      </w:pPr>
      <w:r>
        <w:t>工程师：评估乙酰基六肽-8 与舒缓肽的复配稳定性（30 天 45℃ 加速），确认抗老线可共用平台配方。</w:t>
      </w:r>
    </w:p>
    <w:p>
      <w:pPr>
        <w:pStyle w:val="ListBullet"/>
      </w:pPr>
      <w:r>
        <w:t>产品经理：用 0–10 分主观敏感自评设计 4 周、≥80 人人体功效测试，把「主观评分降低 ≥30%」做成可备案的宣称证据。</w:t>
      </w:r>
    </w:p>
    <w:p>
      <w:pPr>
        <w:pStyle w:val="ListBullet"/>
      </w:pPr>
      <w:r>
        <w:t>产品经理：梳理四条人群线（压力肌/术后/刷酸期/熟龄敏感）的同一底配方差异化故事，避免每个 SKU 重复研发。</w:t>
      </w:r>
    </w:p>
    <w:p>
      <w:pPr>
        <w:pStyle w:val="ListBullet"/>
      </w:pPr>
      <w:r>
        <w:t>合规：全文检索现有文案中「镇静」「修复神经」「阻断神经信号」等高危词，替换为功效评价范围内表述。</w:t>
      </w:r>
    </w:p>
    <w:p>
      <w:r>
        <w:t>参考来源：</w:t>
      </w:r>
    </w:p>
    <w:p>
      <w:pPr>
        <w:pStyle w:val="ListBullet"/>
      </w:pPr>
      <w:r>
        <w:t>Neurocosmetics and Aromatherapy Through Neurocutaneous Receptors and Their Functional Implications in Cosmetics (MDPI Cosmetics, 2025) — https://www.mdpi.com/2079-9284/12/5/179/html</w:t>
      </w:r>
    </w:p>
    <w:p>
      <w:pPr>
        <w:pStyle w:val="ListBullet"/>
      </w:pPr>
      <w:r>
        <w:t>The Role of Neuropeptides in Neurocosmetic Products: Molecular Mechanisms and Clinical Applications (Zenodo, 2025) — https://zenodo.org/records/16759628</w:t>
      </w:r>
    </w:p>
    <w:p>
      <w:pPr>
        <w:pStyle w:val="ListBullet"/>
      </w:pPr>
      <w:r>
        <w:t>Psychodermatology and Neurocosmetics for Skin Health (Gradingredients) — https://grandingredients.com/neurocosmetics-psychodermatology/</w:t>
      </w:r>
    </w:p>
    <w:p>
      <w:pPr>
        <w:pStyle w:val="ListBullet"/>
      </w:pPr>
      <w:r>
        <w:t>功效性护肤品在敏感性皮肤中的应用研究进展（浙江卫生健康科技研发与转化平台） — https://www.msttp.com/information/detail?id=1978300559681126400</w:t>
      </w:r>
    </w:p>
    <w:p>
      <w:pPr>
        <w:pStyle w:val="ListBullet"/>
      </w:pPr>
      <w:r>
        <w:t>114款！2026上半年美妆新原料备案盘点（青眼/今日头条转载） — https://www.toutiao.com/article/7658750901465481764</w:t>
      </w:r>
    </w:p>
    <w:p>
      <w:pPr>
        <w:pStyle w:val="ListBullet"/>
      </w:pPr>
      <w:r>
        <w:t>2026中国大陆医美美妆行业新观察：功效护肤、轻医美与长期健康管理 — http://www.topbrand123.cn/1030.html</w:t>
      </w:r>
    </w:p>
    <w:p>
      <w:pPr>
        <w:pStyle w:val="ListBullet"/>
      </w:pPr>
      <w:r>
        <w:t xml:space="preserve">董银卯《化妆品配方设计6步》 — </w:t>
      </w:r>
    </w:p>
    <w:p>
      <w:pPr>
        <w:pStyle w:val="ListBullet"/>
      </w:pPr>
      <w:r>
        <w:t xml:space="preserve">刘玮《皮肤科学与化妆品功效评价》 — </w:t>
      </w:r>
    </w:p>
    <w:p>
      <w:pPr>
        <w:pStyle w:val="ListBullet"/>
      </w:pPr>
      <w:r>
        <w:t xml:space="preserve">Zoe Draelos《Cosmeceuticals》 — </w:t>
      </w:r>
    </w:p>
    <w:p>
      <w:pPr>
        <w:pStyle w:val="ListBullet"/>
      </w:pPr>
      <w:r>
        <w:t xml:space="preserve">《Handbook of Cosmetic Science and Technology》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