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F3A5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40"/>
              </w:rPr>
              <w:t>皮肤屏障结构与神经酰胺「砖墙模型」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BDD7EE"/>
                <w:sz w:val="25"/>
              </w:rPr>
              <w:t>工程师视角（机制·配方）× 产品经理视角（市场·宣称）</w:t>
            </w:r>
          </w:p>
          <w:p>
            <w:pPr>
              <w:jc w:val="center"/>
            </w:pPr>
            <w:r>
              <w:rPr>
                <w:rFonts w:ascii="微软雅黑" w:hAnsi="微软雅黑" w:eastAsia="微软雅黑"/>
                <w:color w:val="D9D9D9"/>
                <w:sz w:val="19"/>
              </w:rPr>
              <w:t>每日系统学习 #4/15 · 2026-09-15 · 化妆品研发×产品双视角 · 灵感库素材（待你阅读后「加工」入 Topics）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74840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15-skin-barrier-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74840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AF2F8"/>
            <w:tcBorders>
              <w:left w:val="single" w:sz="24" w:space="0" w:color="2E75B6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2E75B6"/>
                <w:sz w:val="23"/>
              </w:rPr>
              <w:t>一句话结论（双视角）：</w:t>
            </w:r>
            <w:r>
              <w:rPr>
                <w:rFonts w:ascii="微软雅黑" w:hAnsi="微软雅黑" w:eastAsia="微软雅黑"/>
                <w:sz w:val="21"/>
              </w:rPr>
              <w:t>工程师：屏障 = 角质细胞（砖）+ 细胞间脂质（灰浆），神经酰胺是灰浆的骨架，缺它「墙就漏」，TEWL 飙升、经皮失水、敏感泛红接踵而至。产品经理：神经酰胺是消费者认知度最高的屏障成分，但「浓度 + 仿生复配比例」才是真功效与差异化叙事的分水岭——单讲名字已卷不动。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一、机理：角质层「砖墙模型」——从 Elias 到今天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1983 年 Elias 教授提出「砖墙结构」（Bricks and Mortar）描述角质层（SC）：角质形成细胞终末分化后的无核角质细胞是「砖块」，细胞间隙填充的「细胞间脂质」是「灰浆」。灰浆的核心构成是神经酰胺（约占总脂质 50%）、胆固醇（约 25%）、游离脂肪酸（约 15%），三者摩尔比接近 3:1:1。神经酰胺像「分子铆钉」把砖块粘成致密防水网，主司调控经表皮失水（TEWL）与抵御外界刺激。神经酰胺总量或链长谱异常→屏障「漏风」，表现为干燥、刺痛、泛红。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天然角质层存在 12+ 种神经酰胺，按「鞘氨醇碱（S/PS/P/H）+ 脂肪酸（NS/NP/NG/AP/AS/EOS…）」组合命名；化妆品常用 6 类：NP、NS、NG、AP、AS、EOP。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你原料库里的 L126 神经酰胺 NP（INCI: CERAMIDE NP）即经典「神经酰胺 3」，是屏障修护的黄金单品。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屏障还含「化学屏障」（酸性膜 pH 4.5–5.5、抗菌肽）、「微生物屏障」（皮肤微生态）——砖墙只是物理屏障的最直观切片。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pH 偏碱会激活蛋白酶（如 KLK）降解兜甲蛋白与脂质，反而破坏屏障——这是「弱酸友好」配方的理论锚点。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产品经理视角：</w:t>
            </w:r>
            <w:r>
              <w:rPr>
                <w:rFonts w:ascii="微软雅黑" w:hAnsi="微软雅黑" w:eastAsia="微软雅黑"/>
                <w:sz w:val="21"/>
              </w:rPr>
              <w:t>「神经酰胺」已成泛成分词，消费者只认名字、不认种类与浓度。把故事从「我加了神经酰胺」升级为「仿生屏障脂质 3:1:1 黄金比例」，可信度与溢价空间都更高——这是同类竞品里最能拉开话术的切口。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二、前沿证据（2023–2026）</w:t>
      </w:r>
    </w:p>
    <w:p>
      <w:pPr>
        <w:spacing w:after="140" w:line="336" w:lineRule="auto"/>
      </w:pPr>
      <w:r>
        <w:rPr>
          <w:rFonts w:ascii="微软雅黑" w:hAnsi="微软雅黑" w:eastAsia="微软雅黑"/>
          <w:sz w:val="22"/>
        </w:rPr>
        <w:t>近年研究把砖墙推到分子与微生态层面：2025 年 ScienceDirect 综述确认「SC pH 与神经酰胺代谢互为生物标志物」，pH 稳态直接关联脂质板层有序度；2026 年 IOP 报道仿生角质层模型（ASC）可忠实复刻 SC 屏障用于配方筛选。临床与配方共识是——神经酰胺 + 胆固醇 + 游离脂肪酸按 3:1:1 复配的修复力显著优于单用神经酰胺；神经酰胺 NP 在 0.1% 以上即见屏障改善信号，高浓路线（行业已出现支持 15% 添加的概念产品）主打「猛药修护」叙事。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复配 &gt; 单打：Cer:Chol:FFA = 3:1:1（摩尔）才能重建液晶有序层状结构，单神经酰胺易「补了却排不齐」。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仿生液晶体系（液晶乳化）本身即形成层状脂质相，与生理性屏障结构高度相似，是递送屏障脂质的最优载体。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神经酰胺与胆固醇的酰基链谱差异决定「送到哪一层」——这正是你递送系统笔记里「包裹 vs 促渗双轨」的用武之地。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微生态轴：屏障完整→微生态稳定→炎症低，形成正向闭环（与神经美容、敏感肌修护互为邻域，见连接网络.md）。</w:t>
      </w:r>
    </w:p>
    <w:p>
      <w:r>
        <w:rPr>
          <w:rFonts w:ascii="微软雅黑" w:hAnsi="微软雅黑" w:eastAsia="微软雅黑"/>
          <w:b/>
          <w:color w:val="2E75B6"/>
          <w:sz w:val="21"/>
        </w:rPr>
        <w:t>工程师配方落地：靶点 → 原料 → 添加量 → 配伍/pH/稳定要点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靶点/作用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推荐原料（INCI）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建议添加量</w:t>
            </w:r>
          </w:p>
        </w:tc>
        <w:tc>
          <w:tcPr>
            <w:tcW w:type="dxa" w:w="2448"/>
            <w:shd w:val="clear" w:color="auto" w:fill="2E75B6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配伍·pH·稳定要点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补充屏障结构脂质（骨架）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CERAMIDE NP（L126 神经酰胺 NP）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0.1%–1.0%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油相 75–80℃ 加入；体系 pH 5.0–6.0；避强酸强碱；与角鲨烷/胆甾醇协同增溶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补充膜脂、促液晶形成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CHOLESTEROL（胆甾醇）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0.03%–0.3%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油相高温加入；与神经酰胺共熔利于层状相；过量会脆化膏体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补齐游离脂肪酸端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植物甾醇/硬脂酸（游离脂肪酸）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0.1%–0.5%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需部分中和；pH 影响乳化与离子态；与 3:1:1 比例联动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仿生复配（黄金比例）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Cer:Chol:FFA = 3:1:1（摩尔）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总脂质 1%–3%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优先液晶乳化体系；用偏振光显微确认层状相；冻融/离心稳定性过关再放大</w:t>
            </w:r>
          </w:p>
        </w:tc>
      </w:tr>
      <w:tr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提升溶解度与稳定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神经酰胺包裹体（脂质体/纳米乳/NDS）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载药 0.5%–2%</w:t>
            </w:r>
          </w:p>
        </w:tc>
        <w:tc>
          <w:tcPr>
            <w:tcW w:type="dxa" w:w="2448"/>
            <w:shd w:val="clear" w:color="auto" w:fill="EEF3F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水相或低温加入；提高难溶神经酰胺生物利用度；配合你 DMIS 促渗可双轨增效</w:t>
            </w:r>
          </w:p>
        </w:tc>
      </w:tr>
      <w:tr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弱酸友好·屏障维稳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pH 调节剂（柠檬酸缓冲）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调至 4.8–5.5</w:t>
            </w:r>
          </w:p>
        </w:tc>
        <w:tc>
          <w:tcPr>
            <w:tcW w:type="dxa" w:w="2448"/>
          </w:tcPr>
          <w:p>
            <w:pPr>
              <w:spacing w:after="40" w:before="4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酸性膜窗口；抑制 KLK 蛋白酶降解；敏感肌宣称更站得住</w:t>
            </w:r>
          </w:p>
        </w:tc>
      </w:tr>
    </w:tbl>
    <w:p>
      <w:pPr>
        <w:spacing w:after="40"/>
      </w:pP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三、工程师配方落地要点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加入顺序：神经酰胺/胆固醇先溶于油相高温均质，脂肪酸视中和需求后加；避免与强阳离子表活同相析出。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相态表征：偏振光显微镜看马耳他十字（液晶）、DSC 看相变、TEWL 仪做人体功效——缺一不可。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与你现有原料协同：角鲨烷（XY26043011 已确认配方）做封端油脂、L126 神经酰胺 NP 做结构脂质、积雪草/红没药醇做舒缓，构成「修护三角」。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高浓度路线警示：神经酰胺高浓易结晶、肤感发涩，必须用包裹或液晶体系改善铺展与吸收体感。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0E4"/>
            <w:tcBorders>
              <w:left w:val="single" w:sz="24" w:space="0" w:color="C86A1E"/>
            </w:tcBorders>
          </w:tcPr>
          <w:p>
            <w:r/>
            <w:r>
              <w:rPr>
                <w:rFonts w:ascii="微软雅黑" w:hAnsi="微软雅黑" w:eastAsia="微软雅黑"/>
                <w:b/>
                <w:color w:val="C86A1E"/>
                <w:sz w:val="23"/>
              </w:rPr>
              <w:t>产品经理视角·市场沟通：</w:t>
            </w:r>
            <w:r>
              <w:rPr>
                <w:rFonts w:ascii="微软雅黑" w:hAnsi="微软雅黑" w:eastAsia="微软雅黑"/>
                <w:sz w:val="21"/>
              </w:rPr>
              <w:t>数据叙事：神经酰胺类是备案量最大的屏障成分之一，消费者教育成本低。「0.1% 起效」是合规且有力的下限话术；「15% 高浓度」适合做旗舰猛药线，但要配体感与稳定性背书。宣称边界——「修护皮肤屏障」可用，「治疗特应性皮炎/湿疹」属医疗宣称违规。</w:t>
            </w:r>
          </w:p>
        </w:tc>
      </w:tr>
    </w:tbl>
    <w:p/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四、合规红线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神经酰胺 NP 已有公开安全评估信息（绿翊合规等数据库可查 CAS 34354-20-0），普通化妆品即可用，无需特妆。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功效宣称需配人体试验或权威文献；「屏障修护」属可用宣称，但不得暗示医疗疗效、不得提「治愈」。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普通化妆品 vs 特殊化妆品边界要分清（防晒/染发/祛斑美白等才归特妆），屏障修护线一般走非特。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与「神经美容」联动时注意：情绪舒缓可宣称「呵护肌肤状态」，不得宣称「抗抑郁/调节神经疾病」。</w:t>
      </w:r>
    </w:p>
    <w:p>
      <w:pPr>
        <w:spacing w:before="220" w:after="80"/>
      </w:pPr>
      <w:r>
        <w:rPr>
          <w:rFonts w:ascii="微软雅黑" w:hAnsi="微软雅黑" w:eastAsia="微软雅黑"/>
          <w:b/>
          <w:color w:val="1F3A5F"/>
          <w:sz w:val="28"/>
        </w:rPr>
        <w:t>五、行动清单（今日可落地）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把「神经酰胺 1:1:1」旧叙事升级为「仿生屏障脂质 3:1:1 黄金比例」写入极光系列卖点。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用 L126 神经酰胺 NP + 胆甾醇 + 脂肪酸复配打样，偏振光镜确认液晶相后再放大。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与递送系统笔记联动：评估 NDS 包裹神经酰胺 vs DMIS 促渗的复配可行性（双轨递送）。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建立「浓度—TEWL—体感」三人体评价 SOP，为功效宣称备证。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合规自查：神经酰胺 NP 安全信息归档，宣称词库剔除医疗用语。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待加工：读完本篇对我说「加工这篇」，我压成简洁知识块入 Topics/原料学习知识。</w:t>
      </w:r>
    </w:p>
    <w:p>
      <w:pPr>
        <w:pStyle w:val="ListBullet"/>
        <w:spacing w:after="60" w:line="312" w:lineRule="auto"/>
      </w:pPr>
      <w:r>
        <w:rPr>
          <w:rFonts w:ascii="微软雅黑" w:hAnsi="微软雅黑" w:eastAsia="微软雅黑"/>
          <w:sz w:val="21"/>
        </w:rPr>
        <w:t>缺口提示：仓库尚无「皮肤屏障」独立卡片，建议本轮迭代新建并与神经美容/敏感肌/医美术后互链。</w:t>
      </w:r>
    </w:p>
    <w:p>
      <w:pPr>
        <w:spacing w:before="200"/>
      </w:pPr>
      <w:r>
        <w:rPr>
          <w:rFonts w:ascii="微软雅黑" w:hAnsi="微软雅黑" w:eastAsia="微软雅黑"/>
          <w:b/>
          <w:color w:val="1F3A5F"/>
          <w:sz w:val="25"/>
        </w:rPr>
        <w:t>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1282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9-15-skin-barrier-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28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95959"/>
          <w:sz w:val="18"/>
        </w:rPr>
        <w:t>角质层砖墙结构：角质细胞(砖) + 细胞间脂质(灰浆=神经酰胺:胆固醇:脂肪酸≈3:1:1)</w:t>
      </w:r>
    </w:p>
    <w:p>
      <w:pPr>
        <w:spacing w:before="200"/>
        <w:pBdr>
          <w:top w:val="single" w:sz="6" w:space="1" w:color="BFBFBF"/>
        </w:pBdr>
      </w:pPr>
      <w:r>
        <w:rPr>
          <w:rFonts w:ascii="微软雅黑" w:hAnsi="微软雅黑" w:eastAsia="微软雅黑"/>
          <w:color w:val="595959"/>
          <w:sz w:val="17"/>
        </w:rPr>
        <w:t>信源：信源：砖墙模型综述（百度健康/知乎 2026）、SC pH 与神经酰胺（ScienceDirect 2025, doi:10.1016/j.jdermsci.2025.04.004 类）、仿生 SC 模型 ASC（IOP 2026）、神经酰胺分类与配方（lv-1.cn 2026、唯铂莱 2026）、神经酰胺 NP 安全信息（绿翊合规）、高浓趋势（搜狐 2025）。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1F3A5F"/>
          <w:sz w:val="25"/>
        </w:rPr>
        <w:t>参考资料与出处链接</w:t>
      </w:r>
    </w:p>
    <w:p>
      <w:pPr>
        <w:pStyle w:val="ListNumber"/>
        <w:spacing w:after="40"/>
      </w:pPr>
      <w:r>
        <w:rPr>
          <w:sz w:val="20"/>
        </w:rPr>
        <w:t xml:space="preserve">1. </w:t>
      </w:r>
      <w:hyperlink r:id="rId11">
        <w:r>
          <w:rPr>
            <w:rStyle w:val="Hyperlink"/>
            <w:rFonts w:eastAsia="微软雅黑" w:ascii="微软雅黑" w:hAnsi="微软雅黑"/>
          </w:rPr>
          <w:t>皮肤屏障的解剖学基础——从角质层「砖墙结构」说起（知乎 2026-07）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https://zhuanlan.zhihu.com/p/2062605926738162730</w:t>
      </w:r>
    </w:p>
    <w:p>
      <w:pPr>
        <w:pStyle w:val="ListNumber"/>
        <w:spacing w:after="40"/>
      </w:pPr>
      <w:r>
        <w:rPr>
          <w:sz w:val="20"/>
        </w:rPr>
        <w:t xml:space="preserve">2. </w:t>
      </w:r>
      <w:hyperlink r:id="rId12">
        <w:r>
          <w:rPr>
            <w:rStyle w:val="Hyperlink"/>
            <w:rFonts w:eastAsia="微软雅黑" w:ascii="微软雅黑" w:hAnsi="微软雅黑"/>
          </w:rPr>
          <w:t>神经酰胺家族全解析：别再被伪修复套路了（知乎 2025）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https://www.zhihu.com/tardis/bd/art/21081763478</w:t>
      </w:r>
    </w:p>
    <w:p>
      <w:pPr>
        <w:pStyle w:val="ListNumber"/>
        <w:spacing w:after="40"/>
      </w:pPr>
      <w:r>
        <w:rPr>
          <w:sz w:val="20"/>
        </w:rPr>
        <w:t xml:space="preserve">3. </w:t>
      </w:r>
      <w:hyperlink r:id="rId13">
        <w:r>
          <w:rPr>
            <w:rStyle w:val="Hyperlink"/>
            <w:rFonts w:eastAsia="微软雅黑" w:ascii="微软雅黑" w:hAnsi="微软雅黑"/>
          </w:rPr>
          <w:t>神经酰胺成分分析：EOP/NS/NP/AS/AP/NG 六种类型与屏障修护（lv-1.cn 2026-08）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https://www.lv-1.cn/lvyi/article/469.html</w:t>
      </w:r>
    </w:p>
    <w:p>
      <w:pPr>
        <w:pStyle w:val="ListNumber"/>
        <w:spacing w:after="40"/>
      </w:pPr>
      <w:r>
        <w:rPr>
          <w:sz w:val="20"/>
        </w:rPr>
        <w:t xml:space="preserve">4. </w:t>
      </w:r>
      <w:hyperlink r:id="rId14">
        <w:r>
          <w:rPr>
            <w:rStyle w:val="Hyperlink"/>
            <w:rFonts w:eastAsia="微软雅黑" w:ascii="微软雅黑" w:hAnsi="微软雅黑"/>
          </w:rPr>
          <w:t>Stratum corneum pH and ceramides: Key regulators and biomarkers of skin barrier（ScienceDirect 2025）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https://www.sciencedirect.com/science/article/pii/S0923181125000404</w:t>
      </w:r>
    </w:p>
    <w:p>
      <w:pPr>
        <w:pStyle w:val="ListNumber"/>
        <w:spacing w:after="40"/>
      </w:pPr>
      <w:r>
        <w:rPr>
          <w:sz w:val="20"/>
        </w:rPr>
        <w:t xml:space="preserve">5. </w:t>
      </w:r>
      <w:hyperlink r:id="rId15">
        <w:r>
          <w:rPr>
            <w:rStyle w:val="Hyperlink"/>
            <w:rFonts w:eastAsia="微软雅黑" w:ascii="微软雅黑" w:hAnsi="微软雅黑"/>
          </w:rPr>
          <w:t>Mimicking the human stratum corneum barrier: a biomimetic SC (ASC)（IOP 2026）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https://iopscience.iop.org/article/10.1088/1758-5090/ae7207</w:t>
      </w:r>
    </w:p>
    <w:p>
      <w:pPr>
        <w:pStyle w:val="ListNumber"/>
        <w:spacing w:after="40"/>
      </w:pPr>
      <w:r>
        <w:rPr>
          <w:sz w:val="20"/>
        </w:rPr>
        <w:t xml:space="preserve">6. </w:t>
      </w:r>
      <w:hyperlink r:id="rId16">
        <w:r>
          <w:rPr>
            <w:rStyle w:val="Hyperlink"/>
            <w:rFonts w:eastAsia="微软雅黑" w:ascii="微软雅黑" w:hAnsi="微软雅黑"/>
          </w:rPr>
          <w:t>神经酰胺 NP（CERAMIDE NP）化妆品原料安全评估信息（绿翊合规）</w:t>
        </w:r>
      </w:hyperlink>
      <w:r>
        <w:rPr>
          <w:rFonts w:ascii="微软雅黑" w:hAnsi="微软雅黑" w:eastAsia="微软雅黑"/>
          <w:color w:val="595959"/>
          <w:sz w:val="18"/>
        </w:rPr>
        <w:t xml:space="preserve">  https://www.lv-1.cn/yuanliao/inci/01606016010.html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zhuanlan.zhihu.com/p/2062605926738162730" TargetMode="External"/><Relationship Id="rId12" Type="http://schemas.openxmlformats.org/officeDocument/2006/relationships/hyperlink" Target="https://www.zhihu.com/tardis/bd/art/21081763478" TargetMode="External"/><Relationship Id="rId13" Type="http://schemas.openxmlformats.org/officeDocument/2006/relationships/hyperlink" Target="https://www.lv-1.cn/lvyi/article/469.html" TargetMode="External"/><Relationship Id="rId14" Type="http://schemas.openxmlformats.org/officeDocument/2006/relationships/hyperlink" Target="https://www.sciencedirect.com/science/article/pii/S0923181125000404" TargetMode="External"/><Relationship Id="rId15" Type="http://schemas.openxmlformats.org/officeDocument/2006/relationships/hyperlink" Target="https://iopscience.iop.org/article/10.1088/1758-5090/ae7207" TargetMode="External"/><Relationship Id="rId16" Type="http://schemas.openxmlformats.org/officeDocument/2006/relationships/hyperlink" Target="https://www.lv-1.cn/yuanliao/inci/01606016010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