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40"/>
              </w:rPr>
              <w:t>每日学习总结 · PLLA 聚左旋乳酸与胶原再生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color w:val="BDD7EE"/>
                <w:sz w:val="25"/>
              </w:rPr>
              <w:t>童颜针的「胶原引擎」：从可降解微球到 I 型胶原新生（研发工程师 × 产品经理双视角）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color w:val="D9D9D9"/>
                <w:sz w:val="19"/>
              </w:rPr>
              <w:t>日期 2026-09-14 ｜ 视角：研发工程师 × 产品经理 ｜ 信源：MDPI 2026 综述、eClinicalLife 2024、Springer 2024、行业盘点（搜狐/腾讯 2026）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9-14-plla-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2F8"/>
            <w:tcBorders>
              <w:left w:val="single" w:sz="24" w:space="0" w:color="2E75B6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2E75B6"/>
                <w:sz w:val="23"/>
              </w:rPr>
              <w:t>一句话结论（双视角）：</w:t>
            </w:r>
            <w:r>
              <w:rPr>
                <w:rFonts w:ascii="微软雅黑" w:hAnsi="微软雅黑" w:eastAsia="微软雅黑"/>
                <w:sz w:val="21"/>
              </w:rPr>
              <w:t>工程师视角：PLLA 不是填充剂，是「胶原刺激剂」——可降解聚左旋乳酸微球植入后缓慢降为乳酸，作为损伤样信号激活成纤维细胞、上调 TGF-β，诱导自身 I/III 型胶原新生；工艺命门在粒径（40–63 μm）、复溶充分性与均匀分散，否则结节。产品经理视角：童颜针卖的是「让脸自己长胶原、渐进自然、长效 2 年+」，但它是三类医疗器械、妆字号不能碰，且与「生长因子/EGF」必须划清——讲「再生」要比讲「填充」更稳。</w:t>
            </w:r>
          </w:p>
        </w:tc>
      </w:tr>
    </w:tbl>
    <w:p/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一、机理：为什么叫「胶原刺激剂」而不是「填充剂」</w:t>
      </w:r>
    </w:p>
    <w:p>
      <w:pPr>
        <w:spacing w:after="140" w:line="336" w:lineRule="auto"/>
      </w:pPr>
      <w:r>
        <w:rPr>
          <w:rFonts w:ascii="微软雅黑" w:hAnsi="微软雅黑" w:eastAsia="微软雅黑"/>
          <w:sz w:val="22"/>
        </w:rPr>
        <w:t>聚左旋乳酸（PLLA）是一种可吸收的合成高分子，1999 年首个童颜针 Sculptra 在海外上市、2004 年起广泛用于面部容积缺失（最初是 HIV 相关脂肪萎缩）。它和玻尿酸「占位即见效」完全不同：PLLA 微球被注射到真皮深层/皮下后，并不靠体积撑起凹陷，而是作为一个可被降解的「支架」缓慢存在，逐步水解为乳酸；乳酸本身是一种损伤样信号，激活局部成纤维细胞、上调 TGF-β 通路，从而诱导自身 I 型与 III 型胶原持续新生。效果因此渐进——通常 2–4 周启动、2–3 个月达峰，并因新生胶原持续存在而维持 2 年甚至更久。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二、前沿证据：机制、粒径与国内市场都已坐实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机制综述坐实：MDPI《Cosmetics》2026 综述把 PLLA-SCA 明确定位为「可注射、可生物降解、非永久性的生物刺激剂（biostimulator）」，强调其通过刺激内源性胶原实现容积恢复，而非占位。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通路明确：eClinicalLife 2024 综述聚焦「胶原刺激机制」，指出聚左旋乳酸通过 TGF-β 等通路显著增强成纤维细胞的胶原合成能力，并梳理了临床安全边界。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粒径是关键工程参数：文献普遍认为 40–63 μm 是较优窗口——粒径过小易被快速清除、刺激不足；过大则易聚集形成皮下结节（nodule）。粒径分布均一性直接决定安全与效果。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国内赛道成形：2021 年 4 月长春圣博玛「艾维岚」获批，开国产童颜针先河；至 2026 年已形成塑妍萃（Sculptra/全球首款、FDA 认证）、艾维岚、濡白（爱美客）等多款混战的「百亿再生医美」格局。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三、工程师视角：配方与工艺落地速查表</w:t>
      </w:r>
    </w:p>
    <w:p>
      <w:r>
        <w:rPr>
          <w:rFonts w:ascii="微软雅黑" w:hAnsi="微软雅黑" w:eastAsia="微软雅黑"/>
          <w:b/>
          <w:color w:val="2E75B6"/>
          <w:sz w:val="21"/>
        </w:rPr>
        <w:t>表 1 PLLA 童颜针体系设计要点（冻干粉复溶 / 与 HA 联用）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靶点 / 角色</w:t>
            </w:r>
          </w:p>
        </w:tc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推荐原料与形态</w:t>
            </w:r>
          </w:p>
        </w:tc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添加量 / 工艺</w:t>
            </w:r>
          </w:p>
        </w:tc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配伍 / pH / 稳定要点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胶原再生引擎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PLLA 微球（冻干粉，复溶后悬浮）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150–200 mg/mL（Sculptra 约 150 mg/瓶）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粒径 40–63 μm；复溶后用无菌水/生理盐水充分水合静置 ≥24 h，防团聚结节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均匀分散 / 即时容积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透明质酸（HA）或甘露醇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与 PLLA 共悬浮，HA 0.5–2%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HA 改善微球悬浮与即时填充感；与 PLLA 分层注射（深层 PLLA + 浅层 HA）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内源性信号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乳酸（PLLA 降解产物）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无需额外添加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PLLA 降解即原位产生乳酸信号，激活成纤维细胞；pH 微酸环境，配伍忌强碱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术后居家维持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视黄醇 / 信号肽类（机构后居家）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驻留型精华 0.1–1%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避开术后即刻创伤期，稳定期用于维持胶原；pH 5.5–6.5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工艺红线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无菌冻干 + 粒径控制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无菌线、粒径分布 CV&lt;阈值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复溶均匀、避免大颗粒团聚是防结节第一要务；全程无菌防肉芽肿</w:t>
            </w:r>
          </w:p>
        </w:tc>
      </w:tr>
    </w:tbl>
    <w:p>
      <w:pPr>
        <w:spacing w:after="40"/>
      </w:pPr>
    </w:p>
    <w:p>
      <w:pPr>
        <w:spacing w:after="140" w:line="336" w:lineRule="auto"/>
      </w:pPr>
      <w:r>
        <w:rPr>
          <w:rFonts w:ascii="微软雅黑" w:hAnsi="微软雅黑" w:eastAsia="微软雅黑"/>
          <w:sz w:val="22"/>
        </w:rPr>
        <w:t>配方逻辑：PLLA 负责「深层容积 + 长效胶原再生」，HA 负责「即时填充 + 改善微球分散」，二者常分层施用。工程师最该盯的两个工艺点是——复溶静置时间（水合不足直接增加结节率）与粒径分布均一性（决定刺激效率与安全）。冻干体系本身还要保证无菌与再分散性，这是三类械注册的核心评价项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四、产品经理视角：市场机会与消费者沟通</w:t>
      </w:r>
    </w:p>
    <w:p>
      <w:pPr>
        <w:spacing w:after="140" w:line="336" w:lineRule="auto"/>
      </w:pPr>
      <w:r>
        <w:rPr>
          <w:rFonts w:ascii="微软雅黑" w:hAnsi="微软雅黑" w:eastAsia="微软雅黑"/>
          <w:sz w:val="22"/>
        </w:rPr>
        <w:t>国内「童颜针」已是百亿级再生医美赛道：艾维岚 2021 年首获批开启国产化，2026 年塑妍萃、艾维岚、濡白等多款同台竞争。核心消费者心智是「渐进、自然、长效、是自己的胶原」——这恰好契合当下对「馒化脸/假面感」的反弹。合规边界也很清晰：童颜针属三类医疗器械，普通化妆品不能宣称；且必须与「生长因子 / EGF」彻底划清（后者在化妆品中明确禁用），PLLA 才是合规的「再生」材料等替代方向之一。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DF0E4"/>
            <w:tcBorders>
              <w:left w:val="single" w:sz="24" w:space="0" w:color="C86A1E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C86A1E"/>
                <w:sz w:val="23"/>
              </w:rPr>
              <w:t>产品经理视角：消费者听得懂的话：</w:t>
            </w:r>
            <w:r>
              <w:rPr>
                <w:rFonts w:ascii="微软雅黑" w:hAnsi="微软雅黑" w:eastAsia="微软雅黑"/>
                <w:sz w:val="21"/>
              </w:rPr>
              <w:t>别讲「聚左旋乳酸微球缓释激活成纤维细胞」。换成：「不是把东西填进去，是让脸自己慢慢长胶原——两周起慢慢出、两三年都在」。把产品定位成机构的「疗程伴侣」（按疗程打、居家维持），比单次即时填充的复购逻辑更稳。切记不要承诺「打完立刻明显」，PLLA 是渐进的，过度承诺只会带来客诉。</w:t>
            </w:r>
          </w:p>
        </w:tc>
      </w:tr>
    </w:tbl>
    <w:p/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五、合规红线：这些边界不能踩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三类医疗器械属性：童颜针（PLLA 注射剂）属三类械，普通化妆品/妆字号产品严禁宣称「童颜针、胶原再生、填充」等医疗功效语境。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禁用「生长因子 / EGF」叙事：国家药监局明确 EGF 禁用于化妆品；PLLA 是合规的胶原再生材料，宣传上要与「生长因子修复」严格区分，避免违规联想。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复配与宣称需有注册/临床依据：「胶原再生、容积维持」等属于医疗/功效宣称，必须落在械字号注册范围与临床证据内，不能跨品类挪用到妆品。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六、今日行动清单（研发 + 产品）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研发：立项 PLLA 冻干复溶体系（粒径 40–63 μm、复溶 ≥24 h 水合工艺）+ 与 HA 分层联用方案，先做离体再分散性与粒径分布验证。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评价：以超声影像 / 组织学胶原密度、容积维持时长做人体验证，呼应刘玮《皮肤科学与化妆品功效评价》方法学。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合规：全程走三类械注册路径，宣称锁定「胶原刺激 / 容积恢复」医疗语境，绝不在妆品线借用。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产品：与轻医美机构谈「疗程伴侣」绑定，用「让脸自己长胶原、渐进自然」消费者语言，避开 EGF/即刻明显的话术。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理论锚点：机制参考 MDPI 2026 与 eClinicalLife 2024 综述；活性物框架参考 Draelos《Cosmeceuticals》再生章节。</w:t>
      </w:r>
    </w:p>
    <w:p>
      <w:pPr>
        <w:spacing w:before="200"/>
      </w:pPr>
      <w:r>
        <w:rPr>
          <w:rFonts w:ascii="微软雅黑" w:hAnsi="微软雅黑" w:eastAsia="微软雅黑"/>
          <w:b/>
          <w:color w:val="1F3A5F"/>
          <w:sz w:val="25"/>
        </w:rPr>
        <w:t>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9-14-plla-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95959"/>
          <w:sz w:val="18"/>
        </w:rPr>
        <w:t>PLLA 胶原再生三阶段：微球降解→乳酸信号→成纤维细胞激活→I 型胶原新生</w:t>
      </w:r>
    </w:p>
    <w:p>
      <w:pPr>
        <w:spacing w:before="200"/>
        <w:pBdr>
          <w:top w:val="single" w:sz="6" w:space="1" w:color="BFBFBF"/>
        </w:pBdr>
      </w:pPr>
      <w:r>
        <w:rPr>
          <w:rFonts w:ascii="微软雅黑" w:hAnsi="微软雅黑" w:eastAsia="微软雅黑"/>
          <w:color w:val="595959"/>
          <w:sz w:val="17"/>
        </w:rPr>
        <w:t>信源：MDPI Cosmetics 2026,13(3),103（PLLA-SCA 生物刺激剂综述）；eClinicalLife 2024（胶原刺激机制 TGF-β 综述）；Aesthetic Plast Surg / Springer 2024（PLLA 身体美学共识）；ScienceDirect 2024（PLLA/PLGA 微球胶原复合）；搜狐 2026《国内童颜针对比》；腾讯新闻 2026《童颜针对比》；刘玮《皮肤科学与化妆品功效评价》；Draelos《Cosmeceuticals》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3A5F"/>
          <w:sz w:val="25"/>
        </w:rPr>
        <w:t>参考资料与出处链接</w:t>
      </w:r>
    </w:p>
    <w:p>
      <w:pPr>
        <w:pStyle w:val="ListNumber"/>
        <w:spacing w:after="40"/>
      </w:pPr>
      <w:r>
        <w:rPr>
          <w:sz w:val="20"/>
        </w:rPr>
        <w:t xml:space="preserve">1. </w:t>
      </w:r>
      <w:hyperlink r:id="rId11">
        <w:r>
          <w:rPr>
            <w:rStyle w:val="Hyperlink"/>
            <w:rFonts w:eastAsia="微软雅黑" w:ascii="微软雅黑" w:hAnsi="微软雅黑"/>
          </w:rPr>
          <w:t>Poly-L-lactic Acid (Sculptra®): A Regenerative Aesthetic Biostimulator（MDPI Cosmetics 2026,13(3),103）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https://www.mdpi.com/2079-9284/13/3/103</w:t>
      </w:r>
    </w:p>
    <w:p>
      <w:pPr>
        <w:pStyle w:val="ListNumber"/>
        <w:spacing w:after="40"/>
      </w:pPr>
      <w:r>
        <w:rPr>
          <w:sz w:val="20"/>
        </w:rPr>
        <w:t xml:space="preserve">2. </w:t>
      </w:r>
      <w:hyperlink r:id="rId12">
        <w:r>
          <w:rPr>
            <w:rStyle w:val="Hyperlink"/>
            <w:rFonts w:eastAsia="微软雅黑" w:ascii="微软雅黑" w:hAnsi="微软雅黑"/>
          </w:rPr>
          <w:t>Contemporary insights into the collagen-stimulating mechanism of poly-L-lactic acid（eClinicalLife 2024）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https://www.elifecycle.org/archive/view_article_pubreader?pid=lc-4-0-10</w:t>
      </w:r>
    </w:p>
    <w:p>
      <w:pPr>
        <w:pStyle w:val="ListNumber"/>
        <w:spacing w:after="40"/>
      </w:pPr>
      <w:r>
        <w:rPr>
          <w:sz w:val="20"/>
        </w:rPr>
        <w:t xml:space="preserve">3. </w:t>
      </w:r>
      <w:hyperlink r:id="rId13">
        <w:r>
          <w:rPr>
            <w:rStyle w:val="Hyperlink"/>
            <w:rFonts w:eastAsia="微软雅黑" w:ascii="微软雅黑" w:hAnsi="微软雅黑"/>
          </w:rPr>
          <w:t>Injectable Poly-l-Lactic Acid for Body Aesthetic Treatments: An Evidence-Based Consensus（Springer Aesth Plast Surg 2024）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https://link.springer.com/article/10.1007/s00266-024-04499-9</w:t>
      </w:r>
    </w:p>
    <w:p>
      <w:pPr>
        <w:pStyle w:val="ListNumber"/>
        <w:spacing w:after="40"/>
      </w:pPr>
      <w:r>
        <w:rPr>
          <w:sz w:val="20"/>
        </w:rPr>
        <w:t xml:space="preserve">4. </w:t>
      </w:r>
      <w:hyperlink r:id="rId14">
        <w:r>
          <w:rPr>
            <w:rStyle w:val="Hyperlink"/>
            <w:rFonts w:eastAsia="微软雅黑" w:ascii="微软雅黑" w:hAnsi="微软雅黑"/>
          </w:rPr>
          <w:t>Biodegradable PLLA/PLGA Microspheres/Collagen Composites for Soft Tissue Augmentation（ScienceDirect 2024）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https://www.sciencedirect.com/science/article/pii/S1359836824004141</w:t>
      </w:r>
    </w:p>
    <w:p>
      <w:pPr>
        <w:pStyle w:val="ListNumber"/>
        <w:spacing w:after="40"/>
      </w:pPr>
      <w:r>
        <w:rPr>
          <w:sz w:val="20"/>
        </w:rPr>
        <w:t xml:space="preserve">5. </w:t>
      </w:r>
      <w:hyperlink r:id="rId15">
        <w:r>
          <w:rPr>
            <w:rStyle w:val="Hyperlink"/>
            <w:rFonts w:eastAsia="微软雅黑" w:ascii="微软雅黑" w:hAnsi="微软雅黑"/>
          </w:rPr>
          <w:t>国内获批童颜针怎么选？塑妍萃、艾维岚等对比与指南（搜狐 2026）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https://www.sohu.com/a/1068883751_120146690</w:t>
      </w:r>
    </w:p>
    <w:p>
      <w:pPr>
        <w:pStyle w:val="ListNumber"/>
        <w:spacing w:after="40"/>
      </w:pPr>
      <w:r>
        <w:rPr>
          <w:sz w:val="20"/>
        </w:rPr>
        <w:t xml:space="preserve">6. </w:t>
      </w:r>
      <w:hyperlink r:id="rId16">
        <w:r>
          <w:rPr>
            <w:rStyle w:val="Hyperlink"/>
            <w:rFonts w:eastAsia="微软雅黑" w:ascii="微软雅黑" w:hAnsi="微软雅黑"/>
          </w:rPr>
          <w:t>童颜针品牌怎么选？塑妍萃、艾维岚、濡白天使对比（腾讯新闻 2026）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https://news.qq.com/rain/a/20260526A096HK00</w:t>
      </w:r>
    </w:p>
    <w:p>
      <w:pPr>
        <w:pStyle w:val="ListNumber"/>
        <w:spacing w:after="40"/>
      </w:pPr>
      <w:r>
        <w:rPr>
          <w:sz w:val="20"/>
        </w:rPr>
        <w:t xml:space="preserve">7. </w:t>
      </w:r>
      <w:hyperlink r:id="rId17">
        <w:r>
          <w:rPr>
            <w:rStyle w:val="Hyperlink"/>
            <w:rFonts w:eastAsia="微软雅黑" w:ascii="微软雅黑" w:hAnsi="微软雅黑"/>
          </w:rPr>
          <w:t>PLLA 微球真皮填充剂在体内刺激胶原蛋白合成（Aesthetic Plastic Surgery，搜狐 2025 文献分享）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https://www.sohu.com/a/960338225_121967410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www.mdpi.com/2079-9284/13/3/103" TargetMode="External"/><Relationship Id="rId12" Type="http://schemas.openxmlformats.org/officeDocument/2006/relationships/hyperlink" Target="https://www.elifecycle.org/archive/view_article_pubreader?pid=lc-4-0-10" TargetMode="External"/><Relationship Id="rId13" Type="http://schemas.openxmlformats.org/officeDocument/2006/relationships/hyperlink" Target="https://link.springer.com/article/10.1007/s00266-024-04499-9" TargetMode="External"/><Relationship Id="rId14" Type="http://schemas.openxmlformats.org/officeDocument/2006/relationships/hyperlink" Target="https://www.sciencedirect.com/science/article/pii/S1359836824004141" TargetMode="External"/><Relationship Id="rId15" Type="http://schemas.openxmlformats.org/officeDocument/2006/relationships/hyperlink" Target="https://www.sohu.com/a/1068883751_120146690" TargetMode="External"/><Relationship Id="rId16" Type="http://schemas.openxmlformats.org/officeDocument/2006/relationships/hyperlink" Target="https://news.qq.com/rain/a/20260526A096HK00" TargetMode="External"/><Relationship Id="rId17" Type="http://schemas.openxmlformats.org/officeDocument/2006/relationships/hyperlink" Target="https://www.sohu.com/a/960338225_1219674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