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F3A5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40"/>
              </w:rPr>
              <w:t>痤疮的免疫-代谢轴与屏障修护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BDD7EE"/>
                <w:sz w:val="25"/>
              </w:rPr>
              <w:t>每日系统学习 #8/15 · 2026-09-19 · 化妆品研发 × 产品双视角 · 灵感库素材（待你阅读后「加工」入 Topics）</w:t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D9D9D9"/>
                <w:sz w:val="19"/>
              </w:rPr>
              <w:t>主题轮换第 8 篇 · 与前 7 篇（神经美容/医美术后/PLLA/屏障神经酰胺/透皮递送/光老化/黑色素）不重复 · 信源含 MDPI/Cochrane/PMC/JDD 综述与 RCT + NMPA 法规 + 2026 微生态趋势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9-19-acne-immune-metabolic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痤疮不是「油多堵住了」这么简单，它是毛囊皮脂腺单位（PSU）的慢性炎症性疾病，由四条链路互相喂养：①代谢轴（胰岛素/IGF-1 → PI3K/AKT → mTORC1↑、FoxO1 核转出 → SREBP-1↑ → 皮脂腺从头脂质合成 DNL 暴增）；②脂质质量崩坏（不只是量多，而是角鲨烯被氧化成 SQOX、游离棕榈酸升高，这两个才是「致粉刺 + 促炎」的真凶）；③免疫轴（皮脂↑导致毛囊缺氧 → C. acnes IA1 型生物膜优势 → TLR2/4 → NF-κB + NLRP3 炎症小体 → IL-1β/IL-6/IL-8 → Th17 极化）；④屏障崩溃（神经酰胺↓、TEWL↑、S. epidermidis↓）。四者首尾相接形成闭环——这就是为什么「只控油+杀菌」的产品永远在复发。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痤疮是全球影响约 20.5% 人群、青少年患病率高达 28.3% 的超级赛道，2024 年全球市场规模约 116 亿美元、预计 2032 年达 175 亿美元。但消费者的痛点已经从「把痘按下去」变成「别让皮肤越祛越敏」：Google 搜索 acne scar treatment 同比 +32%、hormonal acne +28%，而 2026 年新品的共同语言是「屏障友好 BHA」「壬二酸主流化」「后生元微生态」「成人荷尔蒙痤疮」。一句话：谁能让消费者「痘痘在退，皮肤在变好」，谁就赢。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一、代谢轴：从一口奶茶到一颗痘的信号瀑布</w:t>
      </w:r>
    </w:p>
    <w:p>
      <w:pPr>
        <w:spacing w:after="140" w:line="336" w:lineRule="auto"/>
      </w:pPr>
      <w:r>
        <w:rPr>
          <w:rFonts w:ascii="微软雅黑" w:hAnsi="微软雅黑" w:eastAsia="微软雅黑"/>
          <w:sz w:val="22"/>
        </w:rPr>
        <w:t>经典教科书讲痤疮四大环节（皮脂过多、毛囊角化异常、C. acnes 增殖、炎症），但近十年最有价值的突破在于：这四大环节共享同一个上游开关——营养感应激酶 mTORC1。高升糖指数（GI&gt;55）食物与牛奶/乳制品（富含支链氨基酸 BCAAs）→ 餐后胰岛素↑、IGF-1↑ → 激活 PI3K/AKT → FoxO1 被磷酸化后从细胞核转出，失去「刹车」功能 → mTORC1 解抑制 → 上调 SREBP-1 与 PPARγ → 皮脂腺从头脂质合成（DNL）全开。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最硬的佐证：Laron 综合征（先天性 IGF-1 缺陷）患者终生不患痤疮；反之痤疮患者血清与表皮 IGF-1 显著升高。这条流行病学证据几乎钉死了 IGF-1 的因果地位。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IGF-1 还会横向加码：促进性腺 DHEA-S 合成、诱导睾酮经 5α-还原酶转为二氢睾酮（DHT）、抑制 IGFBP-1/3 与 SHBG 从而提高 IGF-1 与雄激素的游离比例。这就是痤疮路径的两条并行「油门」：IGF-1 轴与雄激素/AR 轴。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未成熟皮脂细胞表达更高水平的胰岛素受体与 IGF1R，AKT/mTOR 信号更敏感——所以「反应异常」而非单纯「刺激过强」，可能才是皮肤过度出油的本质。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别只盯着「减少皮脂分泌量」，更要盯「改善皮脂质量（dysseborrhea）」。SREBP-1 上调 Δ6-去饱和酶与硬脂酰-CoA 去饱和酶，把棕榈酸转成棕榈油酸/单不饱和脂肪酸，同时大量泵出角鲨烯——正是这些「成分变了」的皮脂，成了下一环节炎症与粉刺的燃料。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「控糖少奶」第一次有了分子级的解释，是可以做成消费者内容的：低 GI 饮食干预已被证明能改善胰岛素敏感性、降低特征性的 sapienic acid（棕榈油酸），并伴随痤疮严重度下降。不要把食谱说成「治疗」，但完全可以做「生活方式建议 + 产品配合」的双轨叙事。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二、脂质过氧化：被忽略很久的「第一步」</w:t>
      </w:r>
    </w:p>
    <w:p>
      <w:pPr>
        <w:spacing w:after="140" w:line="336" w:lineRule="auto"/>
      </w:pPr>
      <w:r>
        <w:rPr>
          <w:rFonts w:ascii="微软雅黑" w:hAnsi="微软雅黑" w:eastAsia="微软雅黑"/>
          <w:sz w:val="22"/>
        </w:rPr>
        <w:t>皮脂正常组成约为甘油三酯 57.5%、蜡酯 26%、角鲨烯 12%、胆固醇类 4%。角鲨烯是这个体系里最脆弱的一环——它含多个双键，极易被臭氧、长波紫外、烟草烟雾氧化为角鲨烯单氢过氧化物（SQOX）。动物实验证实：用辐照过的角鲨烯涂抹兔耳可直接诱发粉刺，且过氧化程度与粉刺大小正相关；而饱和态的角鲨烷几乎不致粉刺。更下游的机制上，SQOX 会刺激角质形成细胞增殖、上调脂氧合酶（5-LOX）活性、诱导 PPAR 表达，并放大 IL-1α 等促炎因子——它与游离棕榈酸一起，把「代谢异常」翻译成「炎症与角化」。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关键临床证据（Capitanio 2014, JEADV）：18 例轻度粉刺性痤疮（MCA）对比 10 例健康人，皮脂分泌率（SER）与角鲨烯浓度两组无显著差异，但脂质过氧化（LPO）与氧化角鲨烯百分比（SQOX）显著升高，皮损区角质层 IL-1α 显著高于非皮损区。用 RetinSphere + 维生素 E 配方治疗 4 周后，SER 未变而 LPO/SQOX 显著下降，IL-1α 回落至非皮损水平，镜下毛囊角化减少。结论极直接：起作用的是「抗氧化 + 抗角化」，而不是「减少出油」。维生素 E 也因此不只是抗氧化剂，它本身随皮脂共分泌，是皮表的天然防护。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这一节是产品叙事的金矿：我们可以诚实地说「问题不在你出油太多，而在油被氧化变质了」，从而把「维生素 E / 抗氧化」从边缘配角变成痘后淡印方案的主线之一。这类「重构问题定义」的说法，比再喊一遍控油更能建立专业感。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三、免疫轴：不是「菌多了」，而是「菌变坏了」</w:t>
      </w:r>
    </w:p>
    <w:p>
      <w:pPr>
        <w:spacing w:after="140" w:line="336" w:lineRule="auto"/>
      </w:pPr>
      <w:r>
        <w:rPr>
          <w:rFonts w:ascii="微软雅黑" w:hAnsi="微软雅黑" w:eastAsia="微软雅黑"/>
          <w:sz w:val="22"/>
        </w:rPr>
        <w:t>过去认为 C. acnes（痤疮丙酸杆菌）数量增加导致痤疮，但现在证据更精确：痤疮皮肤与健康皮肤的 C. acnes 总丰度并无显著差异，真正的区别在系统发育型的多样性与分布——健康皮肤以 IB、II 型为主，而痤疮皮损中 IA1 型高度富集（报道可达 84.4%，背部甚至 95.6%），且随病情加重多样性递减。IA1 型不仅毒力强，还拥有最强的生物膜形成能力并分泌胞外多糖，把角质细胞黏成团推动粉刺成熟；同时其脂肪酶活性高，把皮脂甘油三酯水解为游离棕榈酸与油酸。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游离棕榈酸作为「危险信号」结合 TLR2，激活 NLRP3 炎症小体 → caspase-1 剪切 pro-IL-1β → 成熟 IL-1β 释放，并驱动 Th17 分化与 IL-17 通路；油酸则通过 IL-1α 刺激角质细胞增殖与角化过度、促进 C. acnes 黏附。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IL-6、IL-8 经 TLR2/TLR4 依赖通路由皮脂细胞分泌，招募中性粒细胞释放溶酶体酶，最终导致毛囊壁破裂 — 这就是丘疹脓疱与后期瘢痕的组织学起点。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反向调节者 S. epidermidis（表皮葡萄球菌）在痤疮皮肤中丰度下降。它三重护驾：甘油发酵抑制 C. acnes、分泌鞘磷脂酶促角质形成细胞合成神经酰胺并降低 TEWL、产生抗菌肽（epidermin、脂磷壁酸）限制致病菌定植。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另一个常被忽略的事实：皮脂腺本身就是先天免疫器官。油酸、棕榈油酸等游离脂肪酸具备直接抗菌活性，皮脂细胞还可在 TLR 调控下分泌 β-防御素 1/2——这是一条与微生物数量无关的「脂质杀菌」防线，也解释了为什么过度去脂反而更容易造成菌群失衡。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把上面这套逻辑翻到配方语言：有效干预必须同时触及「菌/生物膜」「 TLR2-NLRP3-IL-1β 轴」「S. epidermidis 侧的有益菌比重」三件事。单用广谱杀菌（抗生素外用、高浓度泊洛沙姆类消毒）短期见效但会进一步压低 S. epidermidis，长期反而破坏生态——这正是「抗痘后更敏更干、越来越油」的技术归因。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消费者听得懂的版本：皮肤表面有不打架的好菌和坏菌，好菌负责帮你造「皮肤砖墙的水泥」——神经酰胺。一味猛杀菌，好菌也死，砖墙垮了，痘就更难好。这就是「微生态护肤」能立住的科学内核，而不是营销词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四、屏障：不是配角，它决定了疗效上限</w:t>
      </w:r>
    </w:p>
    <w:p>
      <w:pPr>
        <w:spacing w:after="140" w:line="336" w:lineRule="auto"/>
      </w:pPr>
      <w:r>
        <w:rPr>
          <w:rFonts w:ascii="微软雅黑" w:hAnsi="微软雅黑" w:eastAsia="微软雅黑"/>
          <w:sz w:val="22"/>
        </w:rPr>
        <w:t>早在 1995 年，Yamamoto 就发现日本痤疮患者即使在轻度期也有 TEWL 升高与神经酰胺降低，且两者相关，提示「神经酰胺合成功能障碍 → 毛囊角化异常 → 粉刺形成」是一条真实存在的路径。2022 年 Zhou 等（Clin Cosmet Investig Dermatol，74 例痤疮 vs 19 例健康人）进一步证明：痤疮患者 TEWL、pH、皮脂、卟啉、红斑面积均显著升高，而菌群多样性（Shannon/Simpson 指数）显著下降，且随痤疮分级加重而递减；TEWL 与皮脂量又与菌群多样性呈负相关。屏障损伤与菌群失调是共存的。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最值得记住的 RCT（Draelos 2023, J Drugs Dermatol，双盲）：受试者统一使用阿达帕林 0.3% + 过氧化苯甲酰 2.5%（A/BPO）凝胶，治疗组搭配含神经酰胺洁面 + 乳液，对照组搭配基础洁面。结果 — 治疗组 TEWL 在所有时间点均显著低于对照并在 12 周时较基线显著改善；研究者评分的干燥度全程显著更低；甚至炎性皮损计数也显著更少。换句话说：神经酰胺修护不是「安慰剂式舒适感」，它直接放大了药物的净疗效。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这条 RCT 可以支撑一个非常硬的产品主张：在抗痘产品中同步做屏障修护，不是「温和所以没用」，而是「因为修护所以更有效」。极光系列若要立「净痘不伤肤」的定位，这是可以直接引用的终局证据，且属于人类 RCT 级别。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五、工程师配方落地：靶点 → 原料 → 添加量 → 配伍/pH/稳定</w:t>
      </w:r>
    </w:p>
    <w:p>
      <w:r>
        <w:rPr>
          <w:rFonts w:ascii="微软雅黑" w:hAnsi="微软雅黑" w:eastAsia="微软雅黑"/>
          <w:b/>
          <w:color w:val="2E75B6"/>
          <w:sz w:val="21"/>
        </w:rPr>
        <w:t>痘肌/痘后续护活性物落地表（添加量取常规安全区间，实际以原料规格、产品剂型类别与中国法规为准）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靶点/作用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推荐原料（INCI）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建议添加量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配伍·pH·稳定要点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毛囊角化 / 粉刺溶解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SALICYLIC ACID（水杨酸）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0.5%–2.0%（驻留类法规上限 2.0%）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脂溶性，需碱中和或增溶（NaOH/TEA/泊洛沙姆/PEG-40 氢化蓖麻油）；pH 4.0–5.0 兼顾效力与耐受；避开三岁以下儿童用途；务必与神经酰胺、泛醇同框降刺激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温和控油 / 抑 5α-还原酶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ZINC PCA（吡咯烷酮羧酸锌）/ ZINC SULFATE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Zn PCA 0.5%–1.0%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水相，pH 5.0–6.5；清爽凝胶/凝露体系；与烟酰胺、水解酵母协同；注意与其他金属离子、强阴离子聚合物的配伍沉淀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抗炎 + 控油 + 屏障三合一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NIACINAMIDE（烟酰胺）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2%–5%（少数产品做到 10%）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水相，耐热，pH 5.0–7.0；&gt;5% 部分人出现潮红刺痛，需梯度耐受测试；与 Zn PCA、壬二酸、神经酰胺协同度最高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抑 C. acnes + 淡化 PIH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AZELAIC ACID（壬二酸）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5%–15%（目录驻留类最高历史用量 20%）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难溶，须加热分散或羟丙基环糊精/多元醇预分散；pH 4.5–5.5；不建议与高浓度游离酸叠加；乳液/凝胶剂型更稳，注意低温析出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微生态抑菌 / 抑 FoxO1 上游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CAPRYLOYL GLYCINE（辛酰甘氨酸）/ MELALEUCA ALTERNIFOLIA 叶油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辛酰甘氨酸 0.5%–2.0%；茶树油 0.2%–0.5%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辛酰甘氨酸需碱中和至 pH 5.0–6.0；茶树油按香精致敏原管理用量；Both 易挥发建议后段加入或微囊包合；与后生元发酵物同框做「调菌」叙事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抗氧化（压制 SQOX 生成）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TOCOPHEROL（维生素 E）/ CAMELLIA SINENSIS 多酚（EGCG）/ 阿魏酸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VE 0.2%–1.0%；绿茶多酚 0.1%–0.5%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油相加入，易氧化变色需配螯合剂与避光包材；pH 5.0–6.0；这是「抗 SQOX」主线，建议作为标配而非选配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抗炎舒缓（降 IL-1α/IL-8）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CENTELLA ASIATICA 提取物（积雪草苷）/ 泛醇 / 红没药醇 / β-葡聚糖 / 依克多因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积雪草提取物 0.5%–2.0%（积雪草苷 0.1%–0.5%）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水/多元醇相，pH 5.0–7.0；泛醇 1%–5% 兼溶媒感；这组决定产品「上脸安抚体感」与敏感痘肌复购率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屏障修护（核心，非配角）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CERAMIDE NP/AP/EOP + CHOLESTEROL + 游离脂肪酸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神经酰胺复合物 0.1%–1.0%（纯神经酰胺 0.05%–0.2%）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油相高温溶解后乳化、快速降温防结晶；按接近生理摩尔比复配胆固醇+FFA；pH 5.0–6.5；避免高 HLB 强表活破坏层状液晶结构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代谢轴 / mTORC1 干预（新方向）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MYO-INOSITOL（肌醇）/ EGCG / BAKUCHIOL（补骨脂酚）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肌醇 1.0%–2.0%；补骨脂酚 0.5%–1.0%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肌醇水相稳定好；补骨脂酚油溶、需避光并注意光稳定性与宣称边界；主打「下调 IGF-1/mTORC1 信号」为高阶叙事，需体外证据支撑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后生元 / 微生态调节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LACTOBACILLUS FERMENT LYSATE / BIFIDA FERMENT FILTRATE + 低聚果糖/低聚半乳糖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发酵溶胞物 1.0%–5.0%；益生元 0.5%–2.0%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水相，pH 4.5–6.0，建议 &lt;40 ℃ 后段加入；不耐强防腐体系；油痘肌近年优选后生元路线（无需活菌定植、抗炎直接、起效快）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推荐的四段式复配骨架：①疏通层 = 水杨酸 0.5%–2%（或壬二酸 5%–10%）；②调菌层 = 辛酰甘氨酸/后生元复合；③抗炎抗氧化层 = 烟酰胺 3% + Zn PCA + 绿茶多酚 + 积雪草；④屏障层 = 神经酰胺复合 + 胆固醇 + 泛醇。四层缺一环，闭环就还在——复发的根源也就还在。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六、功效评价：祛痘宣称的证据台阶怎么搭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中国香化协会《化妆品祛痘功效人体测试方法》团体标准（2023-10 发布实施，四川大学华西医院牵头，4 家中心、221 人次 多中心验证）：选 ≥30 名有一定粉刺丘疹数量的受试者，连续使用 ≥4 周，前后做临床评估 + 受试者自评 + 图像 + 仪器测试，统计显著性判断。这是目前最可执行的方法学锚点。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《化妆品功效宣称评价规范》证据效力四层级：人体功效评价试验 &gt; 消费者使用测试 &gt; 实验室试验 &gt; 文献资料。祛痘属于重点监管功效，通常需人体功效评价试验（随机、对照、设盲，样本常 30–60 人），或人体试验结合消费者使用测试。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核心指标：非炎性粉刺计数 + 炎性皮损（丘疹/脓疱）计数与总皮损减少率；医生整体评估用 IGA / EGSS；辅助指标用 Sebumeter 测皮脂、Mexameter 测红斑指数、VISIA/皮肤镜做图像分析；建议在 2/4/8 周设时间点。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补充实验室证据：体外抑菌（C. acnes、S. aureus）、抗炎（IL-6/TNF-α/IL-1α 抑制）、SZ95 皮脂细胞模型测脂质合成抑制率——适合在上人体前做配方筛选与机理背书。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DF0E4"/>
            <w:tcBorders>
              <w:left w:val="single" w:sz="24" w:space="0" w:color="C86A1E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C86A1E"/>
                <w:sz w:val="23"/>
              </w:rPr>
              <w:t>产品经理视角：</w:t>
            </w:r>
            <w:r>
              <w:rPr>
                <w:rFonts w:ascii="微软雅黑" w:hAnsi="微软雅黑" w:eastAsia="微软雅黑"/>
                <w:sz w:val="21"/>
              </w:rPr>
              <w:t>宣称「祛痘」不能只靠消费者问卷或单一实验室数据；「祛痘率 90%」这类表述必须基于人体试验的统计结果，且需由具备资质的第三方机构出具报告。备案信息会在「化妆品监管」APP 公示——所有宣称都是可查的公开承诺。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七、合规红线（中国市场，务必逐条核对）</w:t>
      </w:r>
    </w:p>
    <w:p>
      <w:r>
        <w:rPr>
          <w:rFonts w:ascii="微软雅黑" w:hAnsi="微软雅黑" w:eastAsia="微软雅黑"/>
          <w:b/>
          <w:color w:val="2E75B6"/>
          <w:sz w:val="21"/>
        </w:rPr>
        <w:t>痘类产品的法规状态与宣称边界（依据《化妆品安全技术规范》《已使用化妆品原料目录》《化妆品监督管理条例》）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成分/事项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法规状态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限量/要求</w:t>
            </w:r>
          </w:p>
        </w:tc>
        <w:tc>
          <w:tcPr>
            <w:tcW w:type="dxa" w:w="2448"/>
            <w:shd w:val="clear" w:color="auto" w:fill="2E75B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宣称边界与实践提示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水杨酸（Salicylic Acid）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限用组分 + 准用防腐剂双重身份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驻留类与淋洗类肤用 ≤2.0%；淋洗类发用 ≤3.0%；体用/接触粘膜/除臭 ≤0.5%；当防腐剂使用时总量 ≤0.5%（以酸计）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标签须标「含水杨酸；三岁以下儿童勿用」，三岁以下儿童禁用（香波除外）。务必按产品真实类别对应限量——已有祛痘凝胶因实测 1.7% 超出其类别标准值 ≤0.5% 被判不合格并立案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α-羟基酸（果酸）及其盐类酯类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限用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总量 ≤6.0%，产品 pH ≥3.5（淋洗类除外）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总量 ≥3% 需标注「与防晒化妆品同时使用」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维A酸 / 异维A酸 / 三氯醋酸 / 阿达帕林 / 他扎罗汀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药品成分，化妆品禁用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严禁添加；「刷酸」属医疗美容行为，须在有资质机构由专业人员进行（医疗常用果酸 20%–70%、水杨酸 20%–30%）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过氧化苯甲酰（BPO）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药品成分，化妆品禁用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不得添加；化妆品路径需以壬二酸、辛酰甘氨酸、后生元等作为替代方案并同步做功效持证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壬二酸（Azelaic Acid）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《已使用化妆品原料目录（2021年版）》收录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驻留类最高历史使用量 20%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药用法常用 15%–20%；化妆品配方建议从 5%–10% 起做耐受梯度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抗生素（红霉素/克林霉素/夫西地酸等）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化妆品禁用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0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不得添加；且外用抗生素单用易诱导 C. acnes 耐药（&gt;60% 菌株对大环内酯/四环素耐药）</w:t>
            </w:r>
          </w:p>
        </w:tc>
      </w:tr>
      <w:tr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祛痘功效宣称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需人体功效评价支撑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建议 ≥30 人、≥4 周、随机对照设盲</w:t>
            </w:r>
          </w:p>
        </w:tc>
        <w:tc>
          <w:tcPr>
            <w:tcW w:type="dxa" w:w="2448"/>
            <w:shd w:val="clear" w:color="auto" w:fill="EEF3F8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不得明示或暗示医疗作用；禁用「治疗痤疮」「杀菌消炎」「抗感染」「刷酸换肤」等医疗器械/药品口径词汇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2F8"/>
            <w:tcBorders>
              <w:left w:val="single" w:sz="24" w:space="0" w:color="2E75B6"/>
            </w:tcBorders>
          </w:tcPr>
          <w:p>
            <w:r/>
            <w:r>
              <w:rPr>
                <w:rFonts w:ascii="微软雅黑" w:hAnsi="微软雅黑" w:eastAsia="微软雅黑"/>
                <w:b/>
                <w:color w:val="2E75B6"/>
                <w:sz w:val="23"/>
              </w:rPr>
              <w:t>工程师视角：</w:t>
            </w:r>
            <w:r>
              <w:rPr>
                <w:rFonts w:ascii="微软雅黑" w:hAnsi="微软雅黑" w:eastAsia="微软雅黑"/>
                <w:sz w:val="21"/>
              </w:rPr>
              <w:t>最容易踩的坑不是「超量添加」，而是「剂型类别与限量不匹配」——同一浓度的水杨酸，做淋洗类发用合规，做体用/接触粘膜类就超标。类别判定要与申报资料完全一致。</w:t>
            </w:r>
          </w:p>
        </w:tc>
      </w:tr>
    </w:tbl>
    <w:p/>
    <w:p>
      <w:pPr>
        <w:spacing w:before="220" w:after="80"/>
      </w:pPr>
      <w:r>
        <w:rPr>
          <w:rFonts w:ascii="微软雅黑" w:hAnsi="微软雅黑" w:eastAsia="微软雅黑"/>
          <w:b/>
          <w:color w:val="1F3A5F"/>
          <w:sz w:val="28"/>
        </w:rPr>
        <w:t>八、今日可落地行动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确立「四层闭环」配方骨架立项：疏通（水杨酸或壬二酸）+ 调菌（辛酰甘氨酸/后生元）+ 抗炎抗氧化（烟酰胺+Zn PCA+绿茶多酚+积雪草）+ 屏障（神经酰胺复合+胆固醇+泛醇）。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把维生素 E 从「抗氧化配角」提升为必须的「抗 SQOX 主线」：体外测脂质过氧化抑制率，作为立项的核心机理证据。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搭建体外筛选链路：SZ95 皮脂细胞模型（测脂质合成下降、IGF-1/mTORC1 轴响应）+ C. acnes IA1 生物膜抑制 + IL-1β/IL-8 ELISA（TLR2-NLRP3 轴），先过筛再上人体。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人体功效方案按团体标准设计：≥30 人轻中度痤疮、≥4 周（建议设 2/4/8 周三个时间点），增设含神经酰胺护理组做自身对照，用 Sebumeter + Mexameter + IGA + 皮损计数四维评估。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合规自查三件事：水杨酸按真实剂型类别校限；标签加「含水杨酸；三岁以下儿童勿用」；全文剔除治疗/杀菌/抗炎等医疗化表述，改用「帮助减少痘痘」「有助于肌肤恢复」。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市场叙事升级为「先看懂闭环，再给方案」：用「好菌/坏菌/砖墙水泥」「油被氧化了」两套消费者语言，替代「控油杀菌」旧话术。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读完本篇对我说「加工这篇」，我压成简洁知识块入 Topics，并与屏障篇（神经酰胺砖墙模型）、医美术后篇（PIH 抑制与术后屏障）、神经美容篇（压力-CRH 通路与毛囊皮脂腺单位的应激轴）建立互链——这三篇在「应激—炎症—屏障」上完全同源。</w:t>
      </w:r>
    </w:p>
    <w:p>
      <w:pPr>
        <w:pStyle w:val="ListBullet"/>
        <w:spacing w:after="60" w:line="312" w:lineRule="auto"/>
      </w:pPr>
      <w:r>
        <w:rPr>
          <w:rFonts w:ascii="微软雅黑" w:hAnsi="微软雅黑" w:eastAsia="微软雅黑"/>
          <w:sz w:val="21"/>
        </w:rPr>
        <w:t>缺口：仓库尚无「痤疮/痘肌」独立卡片。建议本轮迭代补建，并归入 Topics/化妆品护肤。彩妆篇与粉底/持妆可与「不致痘性（non-comedogenic）测试」联动。</w:t>
      </w:r>
    </w:p>
    <w:p>
      <w:pPr>
        <w:spacing w:before="200"/>
      </w:pPr>
      <w:r>
        <w:rPr>
          <w:rFonts w:ascii="微软雅黑" w:hAnsi="微软雅黑" w:eastAsia="微软雅黑"/>
          <w:b/>
          <w:color w:val="1F3A5F"/>
          <w:sz w:val="25"/>
        </w:rPr>
        <w:t>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12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09-19-acne-immune-metabolic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2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95959"/>
          <w:sz w:val="18"/>
        </w:rPr>
        <w:t>三重轴闭环机理：饮食/IGF-1 → mTORC1/SREBP-1 → 皮脂合成 → 棕榈酸与角鲨烯氧化 → TLR2/NLRP3/IL-1β → 屏障受损 → 反哺上游</w:t>
      </w:r>
    </w:p>
    <w:p>
      <w:pPr>
        <w:spacing w:before="200"/>
        <w:pBdr>
          <w:top w:val="single" w:sz="6" w:space="1" w:color="BFBFBF"/>
        </w:pBdr>
      </w:pPr>
      <w:r>
        <w:rPr>
          <w:rFonts w:ascii="微软雅黑" w:hAnsi="微软雅黑" w:eastAsia="微软雅黑"/>
          <w:color w:val="595959"/>
          <w:sz w:val="17"/>
        </w:rPr>
        <w:t>信源：MDPI Applied Sciences 2026 肠-皮肤轴综述；MDPI Acne &amp; Rosacea 共享轴综述；Int J Mol Sci 2024 痤疮治疗机制综述；Metabolites 2026 脂质代谢与饮食；Clin Cosmet Investig Dermatol 2022 屏障-菌群队列；J Drugs Dermatol 2023 神经酰胺辅助治疗 RCT；JEADV 2014 皮脂氧化/IL-1α 临床研究；Cochrane Database Syst Rev 2020 外用 acne 的系统评价；NMPA 2026 年第 6 号公告限用组分表；《化妆品功效宣称评价规范》；中国香化协会《化妆品祛痘功效人体测试方法》团标；中国香料香精化妆品工业协会、北检院、Gravel AI、Grand Ingredients 2026 趋势资料。理论锚点：董银卯《化妆品配方设计6步》、刘玮《皮肤科学与化妆品功效评价》、Cosmeceuticals、Handbook of Cosmetic Science and Technology。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3A5F"/>
          <w:sz w:val="25"/>
        </w:rPr>
        <w:t>参考资料与出处链接</w:t>
      </w:r>
    </w:p>
    <w:p>
      <w:pPr>
        <w:pStyle w:val="ListNumber"/>
        <w:spacing w:after="40"/>
      </w:pPr>
      <w:r>
        <w:rPr>
          <w:sz w:val="20"/>
        </w:rPr>
        <w:t xml:space="preserve">1. </w:t>
      </w:r>
      <w:hyperlink r:id="rId11">
        <w:r>
          <w:rPr>
            <w:rStyle w:val="Hyperlink"/>
            <w:rFonts w:eastAsia="微软雅黑" w:ascii="微软雅黑" w:hAnsi="微软雅黑"/>
          </w:rPr>
          <w:t>Rethinking Acne Vulgaris: The Gut–Skin Axis as a Central Mechanism and Therapeutic Target (MDPI Applied Sciences 2026;16(9):4527)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https://www.mdpi.com/2076-3417/16/9/4527</w:t>
      </w:r>
    </w:p>
    <w:p>
      <w:pPr>
        <w:pStyle w:val="ListNumber"/>
        <w:spacing w:after="40"/>
      </w:pPr>
      <w:r>
        <w:rPr>
          <w:sz w:val="20"/>
        </w:rPr>
        <w:t xml:space="preserve">2. </w:t>
      </w:r>
      <w:hyperlink r:id="rId12">
        <w:r>
          <w:rPr>
            <w:rStyle w:val="Hyperlink"/>
            <w:rFonts w:eastAsia="微软雅黑" w:ascii="微软雅黑" w:hAnsi="微软雅黑"/>
          </w:rPr>
          <w:t>Acne and Rosacea: Distinct Disorders Sharing a Sebum–Microbiome–Inflammation–Barrier Axis (MDPI 2026;6(3):32)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https://www.mdpi.com/2673-6179/6/3/32</w:t>
      </w:r>
    </w:p>
    <w:p>
      <w:pPr>
        <w:pStyle w:val="ListNumber"/>
        <w:spacing w:after="40"/>
      </w:pPr>
      <w:r>
        <w:rPr>
          <w:sz w:val="20"/>
        </w:rPr>
        <w:t xml:space="preserve">3. </w:t>
      </w:r>
      <w:hyperlink r:id="rId13">
        <w:r>
          <w:rPr>
            <w:rStyle w:val="Hyperlink"/>
            <w:rFonts w:eastAsia="微软雅黑" w:ascii="微软雅黑" w:hAnsi="微软雅黑"/>
          </w:rPr>
          <w:t>Lipid Metabolism, Body Composition, and Diet in Acne Vulgaris: A Narrative Review (MDPI Metabolites 2026;16(7):466)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https://www.mdpi.com/2218-1989/16/7/466</w:t>
      </w:r>
    </w:p>
    <w:p>
      <w:pPr>
        <w:pStyle w:val="ListNumber"/>
        <w:spacing w:after="40"/>
      </w:pPr>
      <w:r>
        <w:rPr>
          <w:sz w:val="20"/>
        </w:rPr>
        <w:t xml:space="preserve">4. </w:t>
      </w:r>
      <w:hyperlink r:id="rId14">
        <w:r>
          <w:rPr>
            <w:rStyle w:val="Hyperlink"/>
            <w:rFonts w:eastAsia="微软雅黑" w:ascii="微软雅黑" w:hAnsi="微软雅黑"/>
          </w:rPr>
          <w:t>Exploring Acne Treatments: From Pathophysiological Mechanisms to Emerging Therapies (Int J Mol Sci 2024, PMC11121268)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https://pmc.ncbi.nlm.nih.gov/articles/PMC11121268/</w:t>
      </w:r>
    </w:p>
    <w:p>
      <w:pPr>
        <w:pStyle w:val="ListNumber"/>
        <w:spacing w:after="40"/>
      </w:pPr>
      <w:r>
        <w:rPr>
          <w:sz w:val="20"/>
        </w:rPr>
        <w:t xml:space="preserve">5. </w:t>
      </w:r>
      <w:hyperlink r:id="rId15">
        <w:r>
          <w:rPr>
            <w:rStyle w:val="Hyperlink"/>
            <w:rFonts w:eastAsia="微软雅黑" w:ascii="微软雅黑" w:hAnsi="微软雅黑"/>
          </w:rPr>
          <w:t>The Sebaceous Gland: A Key Player in the Balance Between Homeostasis and Inflammatory Skin Diseases (PMC40422250)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https://pmc.ncbi.nlm.nih.gov/articles/pmid/40422250/</w:t>
      </w:r>
    </w:p>
    <w:p>
      <w:pPr>
        <w:pStyle w:val="ListNumber"/>
        <w:spacing w:after="40"/>
      </w:pPr>
      <w:r>
        <w:rPr>
          <w:sz w:val="20"/>
        </w:rPr>
        <w:t xml:space="preserve">6. </w:t>
      </w:r>
      <w:hyperlink r:id="rId16">
        <w:r>
          <w:rPr>
            <w:rStyle w:val="Hyperlink"/>
            <w:rFonts w:eastAsia="微软雅黑" w:ascii="微软雅黑" w:hAnsi="微软雅黑"/>
          </w:rPr>
          <w:t>Epidermal Barrier Integrity is Associated with Both Skin Microbiome Diversity and Composition in Patients with Acne Vulgaris (CCID 2022, PMID 36196252)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https://pubmed.ncbi.nlm.nih.gov/36196252/</w:t>
      </w:r>
    </w:p>
    <w:p>
      <w:pPr>
        <w:pStyle w:val="ListNumber"/>
        <w:spacing w:after="40"/>
      </w:pPr>
      <w:r>
        <w:rPr>
          <w:sz w:val="20"/>
        </w:rPr>
        <w:t xml:space="preserve">7. </w:t>
      </w:r>
      <w:hyperlink r:id="rId17">
        <w:r>
          <w:rPr>
            <w:rStyle w:val="Hyperlink"/>
            <w:rFonts w:eastAsia="微软雅黑" w:ascii="微软雅黑" w:hAnsi="微软雅黑"/>
          </w:rPr>
          <w:t>Ceramide-Containing Adjunctive Skin Care for Skin Barrier Restoration During Acne Vulgaris Treatment (J Drugs Dermatol 2023, Draelos ZD 等)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https://pubmed.ncbi.nlm.nih.gov/37276158/</w:t>
      </w:r>
    </w:p>
    <w:p>
      <w:pPr>
        <w:pStyle w:val="ListNumber"/>
        <w:spacing w:after="40"/>
      </w:pPr>
      <w:r>
        <w:rPr>
          <w:sz w:val="20"/>
        </w:rPr>
        <w:t xml:space="preserve">8. </w:t>
      </w:r>
      <w:hyperlink r:id="rId18">
        <w:r>
          <w:rPr>
            <w:rStyle w:val="Hyperlink"/>
            <w:rFonts w:eastAsia="微软雅黑" w:ascii="微软雅黑" w:hAnsi="微软雅黑"/>
          </w:rPr>
          <w:t>Modulation of sebum oxidation and interleukin-1α levels associates with clinical improvement of mild comedonal acne (JEADV 2014, Capitanio B 等)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https://pubmed.ncbi.nlm.nih.gov/24628899</w:t>
      </w:r>
    </w:p>
    <w:p>
      <w:pPr>
        <w:pStyle w:val="ListNumber"/>
        <w:spacing w:after="40"/>
      </w:pPr>
      <w:r>
        <w:rPr>
          <w:sz w:val="20"/>
        </w:rPr>
        <w:t xml:space="preserve">9. </w:t>
      </w:r>
      <w:hyperlink r:id="rId19">
        <w:r>
          <w:rPr>
            <w:rStyle w:val="Hyperlink"/>
            <w:rFonts w:eastAsia="微软雅黑" w:ascii="微软雅黑" w:hAnsi="微软雅黑"/>
          </w:rPr>
          <w:t>The Role of Inflammation in the Pathology of Acne (PMC3780801)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https://pmc.ncbi.nlm.nih.gov/articles/PMC3780801/</w:t>
      </w:r>
    </w:p>
    <w:p>
      <w:pPr>
        <w:pStyle w:val="ListNumber"/>
        <w:spacing w:after="40"/>
      </w:pPr>
      <w:r>
        <w:rPr>
          <w:sz w:val="20"/>
        </w:rPr>
        <w:t xml:space="preserve">10. </w:t>
      </w:r>
      <w:hyperlink r:id="rId20">
        <w:r>
          <w:rPr>
            <w:rStyle w:val="Hyperlink"/>
            <w:rFonts w:eastAsia="微软雅黑" w:ascii="微软雅黑" w:hAnsi="微软雅黑"/>
          </w:rPr>
          <w:t>Sebaceous gland lipids：角鲨烯过氧化与粉刺形成 (PMC2835893)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https://www.ncbi.nlm.nih.gov/pmc/articles/PMC2835893/</w:t>
      </w:r>
    </w:p>
    <w:p>
      <w:pPr>
        <w:pStyle w:val="ListNumber"/>
        <w:spacing w:after="40"/>
      </w:pPr>
      <w:r>
        <w:rPr>
          <w:sz w:val="20"/>
        </w:rPr>
        <w:t xml:space="preserve">11. </w:t>
      </w:r>
      <w:hyperlink r:id="rId21">
        <w:r>
          <w:rPr>
            <w:rStyle w:val="Hyperlink"/>
            <w:rFonts w:eastAsia="微软雅黑" w:ascii="微软雅黑" w:hAnsi="微软雅黑"/>
          </w:rPr>
          <w:t>Pollution and acne: is there a link? (PMC5446966)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https://pmc.ncbi.nlm.nih.gov/articles/PMC5446966</w:t>
      </w:r>
    </w:p>
    <w:p>
      <w:pPr>
        <w:pStyle w:val="ListNumber"/>
        <w:spacing w:after="40"/>
      </w:pPr>
      <w:r>
        <w:rPr>
          <w:sz w:val="20"/>
        </w:rPr>
        <w:t xml:space="preserve">12. </w:t>
      </w:r>
      <w:hyperlink r:id="rId22">
        <w:r>
          <w:rPr>
            <w:rStyle w:val="Hyperlink"/>
            <w:rFonts w:eastAsia="微软雅黑" w:ascii="微软雅黑" w:hAnsi="微软雅黑"/>
          </w:rPr>
          <w:t>Topical azelaic acid, salicylic acid, nicotinamide, sulphur, zinc and fruit acid for acne (Cochrane Database Syst Rev 2020;5:CD011368)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https://pmc.ncbi.nlm.nih.gov/articles/pmid/32356369/</w:t>
      </w:r>
    </w:p>
    <w:p>
      <w:pPr>
        <w:pStyle w:val="ListNumber"/>
        <w:spacing w:after="40"/>
      </w:pPr>
      <w:r>
        <w:rPr>
          <w:sz w:val="20"/>
        </w:rPr>
        <w:t xml:space="preserve">13. </w:t>
      </w:r>
      <w:hyperlink r:id="rId23">
        <w:r>
          <w:rPr>
            <w:rStyle w:val="Hyperlink"/>
            <w:rFonts w:eastAsia="微软雅黑" w:ascii="微软雅黑" w:hAnsi="微软雅黑"/>
          </w:rPr>
          <w:t>Linking diet to acne metabolomics, inflammation, and comedogenesis: an update (Melnik BC, PMID 26203267)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https://pubmed.gov/26203267/</w:t>
      </w:r>
    </w:p>
    <w:p>
      <w:pPr>
        <w:pStyle w:val="ListNumber"/>
        <w:spacing w:after="40"/>
      </w:pPr>
      <w:r>
        <w:rPr>
          <w:sz w:val="20"/>
        </w:rPr>
        <w:t xml:space="preserve">14. </w:t>
      </w:r>
      <w:hyperlink r:id="rId24">
        <w:r>
          <w:rPr>
            <w:rStyle w:val="Hyperlink"/>
            <w:rFonts w:eastAsia="微软雅黑" w:ascii="微软雅黑" w:hAnsi="微软雅黑"/>
          </w:rPr>
          <w:t>The Role and Benefits of Dermocosmetics in Acne Management in Japan (PMC10307753)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https://pmc.ncbi.nlm.nih.gov/articles/PMC10307753/</w:t>
      </w:r>
    </w:p>
    <w:p>
      <w:pPr>
        <w:pStyle w:val="ListNumber"/>
        <w:spacing w:after="40"/>
      </w:pPr>
      <w:r>
        <w:rPr>
          <w:sz w:val="20"/>
        </w:rPr>
        <w:t xml:space="preserve">15. </w:t>
      </w:r>
      <w:hyperlink r:id="rId25">
        <w:r>
          <w:rPr>
            <w:rStyle w:val="Hyperlink"/>
            <w:rFonts w:eastAsia="微软雅黑" w:ascii="微软雅黑" w:hAnsi="微软雅黑"/>
          </w:rPr>
          <w:t>Acne Vulgaris: Advances in Pathogenesis and Innovations in Therapeutic Strategies (IMAJ 2025;27:424-428)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https://ima-files.s3.amazonaws.com/760632_40a80eb4-031e-40e3-b710-7c0ab8eb699d.pdf</w:t>
      </w:r>
    </w:p>
    <w:p>
      <w:pPr>
        <w:pStyle w:val="ListNumber"/>
        <w:spacing w:after="40"/>
      </w:pPr>
      <w:r>
        <w:rPr>
          <w:sz w:val="20"/>
        </w:rPr>
        <w:t xml:space="preserve">16. </w:t>
      </w:r>
      <w:hyperlink r:id="rId26">
        <w:r>
          <w:rPr>
            <w:rStyle w:val="Hyperlink"/>
            <w:rFonts w:eastAsia="微软雅黑" w:ascii="微软雅黑" w:hAnsi="微软雅黑"/>
          </w:rPr>
          <w:t>国家药品监督管理局 2026 年第 6 号公告附件：化妆品限用组分表（水杨酸限量）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https://www.nmpa.gov.cn/directory/web/nmpa/images/1768200916050068525.docx</w:t>
      </w:r>
    </w:p>
    <w:p>
      <w:pPr>
        <w:pStyle w:val="ListNumber"/>
        <w:spacing w:after="40"/>
      </w:pPr>
      <w:r>
        <w:rPr>
          <w:sz w:val="20"/>
        </w:rPr>
        <w:t xml:space="preserve">17. </w:t>
      </w:r>
      <w:hyperlink r:id="rId27">
        <w:r>
          <w:rPr>
            <w:rStyle w:val="Hyperlink"/>
            <w:rFonts w:eastAsia="微软雅黑" w:ascii="微软雅黑" w:hAnsi="微软雅黑"/>
          </w:rPr>
          <w:t>人民日报：此「酸」非彼「酸」，安全用酸不走极端（化妆品 vs 医疗刷酸的边界）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https://www.peopleapp.com/rmharticle/30023838740</w:t>
      </w:r>
    </w:p>
    <w:p>
      <w:pPr>
        <w:pStyle w:val="ListNumber"/>
        <w:spacing w:after="40"/>
      </w:pPr>
      <w:r>
        <w:rPr>
          <w:sz w:val="20"/>
        </w:rPr>
        <w:t xml:space="preserve">18. </w:t>
      </w:r>
      <w:hyperlink r:id="rId28">
        <w:r>
          <w:rPr>
            <w:rStyle w:val="Hyperlink"/>
            <w:rFonts w:eastAsia="微软雅黑" w:ascii="微软雅黑" w:hAnsi="微软雅黑"/>
          </w:rPr>
          <w:t>人民日报：刷酸美容前，最好看完这篇再决定（果酸/水杨酸/壬二酸限量与标注要求）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https://www.peopleapp.com/rmharticle/30025099111</w:t>
      </w:r>
    </w:p>
    <w:p>
      <w:pPr>
        <w:pStyle w:val="ListNumber"/>
        <w:spacing w:after="40"/>
      </w:pPr>
      <w:r>
        <w:rPr>
          <w:sz w:val="20"/>
        </w:rPr>
        <w:t xml:space="preserve">19. </w:t>
      </w:r>
      <w:hyperlink r:id="rId29">
        <w:r>
          <w:rPr>
            <w:rStyle w:val="Hyperlink"/>
            <w:rFonts w:eastAsia="微软雅黑" w:ascii="微软雅黑" w:hAnsi="微软雅黑"/>
          </w:rPr>
          <w:t>中国质量新闻网：某祛痘凝胶「水杨酸」检测不合格案例（1.7% vs 标准值 ≤0.5%）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https://m.cqn.com.cn/ms/content/2023-12/05/content_9006641.htm</w:t>
      </w:r>
    </w:p>
    <w:p>
      <w:pPr>
        <w:pStyle w:val="ListNumber"/>
        <w:spacing w:after="40"/>
      </w:pPr>
      <w:r>
        <w:rPr>
          <w:sz w:val="20"/>
        </w:rPr>
        <w:t xml:space="preserve">20. </w:t>
      </w:r>
      <w:hyperlink r:id="rId30">
        <w:r>
          <w:rPr>
            <w:rStyle w:val="Hyperlink"/>
            <w:rFonts w:eastAsia="微软雅黑" w:ascii="微软雅黑" w:hAnsi="微软雅黑"/>
          </w:rPr>
          <w:t>中国香化协会发布《化妆品祛痘功效人体测试方法》团体标准（华西医院牵头，≥30人、≥4周，4中心221人次验证）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https://www.sohu.com/a/738278358_121117467</w:t>
      </w:r>
    </w:p>
    <w:p>
      <w:pPr>
        <w:pStyle w:val="ListNumber"/>
        <w:spacing w:after="40"/>
      </w:pPr>
      <w:r>
        <w:rPr>
          <w:sz w:val="20"/>
        </w:rPr>
        <w:t xml:space="preserve">21. </w:t>
      </w:r>
      <w:hyperlink r:id="rId31">
        <w:r>
          <w:rPr>
            <w:rStyle w:val="Hyperlink"/>
            <w:rFonts w:eastAsia="微软雅黑" w:ascii="微软雅黑" w:hAnsi="微软雅黑"/>
          </w:rPr>
          <w:t>化妆品祛痘功效评估：科学验证背后的真相（评价维度：IGA/EGSS、皮损计数、Sebumeter、Mexameter、VISIA）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https://www.bjjcyjs.com/showinfo-1-3804-0.html</w:t>
      </w:r>
    </w:p>
    <w:p>
      <w:pPr>
        <w:pStyle w:val="ListNumber"/>
        <w:spacing w:after="40"/>
      </w:pPr>
      <w:r>
        <w:rPr>
          <w:sz w:val="20"/>
        </w:rPr>
        <w:t xml:space="preserve">22. </w:t>
      </w:r>
      <w:hyperlink r:id="rId32">
        <w:r>
          <w:rPr>
            <w:rStyle w:val="Hyperlink"/>
            <w:rFonts w:eastAsia="微软雅黑" w:ascii="微软雅黑" w:hAnsi="微软雅黑"/>
          </w:rPr>
          <w:t>《化妆品功效宣称评价规范》：祛痘等功效的四级证据层级要求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http://huayutest.com/zixun/93717.html</w:t>
      </w:r>
    </w:p>
    <w:p>
      <w:pPr>
        <w:pStyle w:val="ListNumber"/>
        <w:spacing w:after="40"/>
      </w:pPr>
      <w:r>
        <w:rPr>
          <w:sz w:val="20"/>
        </w:rPr>
        <w:t xml:space="preserve">23. </w:t>
      </w:r>
      <w:hyperlink r:id="rId33">
        <w:r>
          <w:rPr>
            <w:rStyle w:val="Hyperlink"/>
            <w:rFonts w:eastAsia="微软雅黑" w:ascii="微软雅黑" w:hAnsi="微软雅黑"/>
          </w:rPr>
          <w:t>综述：用于皮肤微生物组调节的化妆品干预——当前策略与未来方向（益生菌/益生元/后生元/副益生元）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https://www.ebiotrade.com/newsf/2026-4/20260417000839757.htm</w:t>
      </w:r>
    </w:p>
    <w:p>
      <w:pPr>
        <w:pStyle w:val="ListNumber"/>
        <w:spacing w:after="40"/>
      </w:pPr>
      <w:r>
        <w:rPr>
          <w:sz w:val="20"/>
        </w:rPr>
        <w:t xml:space="preserve">24. </w:t>
      </w:r>
      <w:hyperlink r:id="rId34">
        <w:r>
          <w:rPr>
            <w:rStyle w:val="Hyperlink"/>
            <w:rFonts w:eastAsia="微软雅黑" w:ascii="微软雅黑" w:hAnsi="微软雅黑"/>
          </w:rPr>
          <w:t>中国香料香精化妆品工业协会：按肤质选对，调菌才有效（油痘肌优选后生元）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https://www.caffcimedia.com/feed/mbkRyxEa</w:t>
      </w:r>
    </w:p>
    <w:p>
      <w:pPr>
        <w:pStyle w:val="ListNumber"/>
        <w:spacing w:after="40"/>
      </w:pPr>
      <w:r>
        <w:rPr>
          <w:sz w:val="20"/>
        </w:rPr>
        <w:t xml:space="preserve">25. </w:t>
      </w:r>
      <w:hyperlink r:id="rId35">
        <w:r>
          <w:rPr>
            <w:rStyle w:val="Hyperlink"/>
            <w:rFonts w:eastAsia="微软雅黑" w:ascii="微软雅黑" w:hAnsi="微软雅黑"/>
          </w:rPr>
          <w:t>Bioferments &amp; Postbiotics: The Next Microbiome Frontier (Grand Ingredients 2026)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https://grandingredients.com/bioferments-postbiotics-2026/</w:t>
      </w:r>
    </w:p>
    <w:p>
      <w:pPr>
        <w:pStyle w:val="ListNumber"/>
        <w:spacing w:after="40"/>
      </w:pPr>
      <w:r>
        <w:rPr>
          <w:sz w:val="20"/>
        </w:rPr>
        <w:t xml:space="preserve">26. </w:t>
      </w:r>
      <w:hyperlink r:id="rId36">
        <w:r>
          <w:rPr>
            <w:rStyle w:val="Hyperlink"/>
            <w:rFonts w:eastAsia="微软雅黑" w:ascii="微软雅黑" w:hAnsi="微软雅黑"/>
          </w:rPr>
          <w:t>2026年7月大湾区祛痘产品核心技术分析总结：从控油抗炎、屏障修护到功效验证看行业升级方向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https://www.gsmc.org.cn/zuixinjishu/964.html</w:t>
      </w:r>
    </w:p>
    <w:p>
      <w:pPr>
        <w:pStyle w:val="ListNumber"/>
        <w:spacing w:after="40"/>
      </w:pPr>
      <w:r>
        <w:rPr>
          <w:sz w:val="20"/>
        </w:rPr>
        <w:t xml:space="preserve">27. </w:t>
      </w:r>
      <w:hyperlink r:id="rId37">
        <w:r>
          <w:rPr>
            <w:rStyle w:val="Hyperlink"/>
            <w:rFonts w:eastAsia="微软雅黑" w:ascii="微软雅黑" w:hAnsi="微软雅黑"/>
          </w:rPr>
          <w:t>Acne &amp; Blemish Skincare Trends 2026 — BHA, Azelaic Acid, Microbiome（Gravel AI 品类追踪）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https://gravelai.com/blog/acne-blemish-skincare-trends-2026</w:t>
      </w:r>
    </w:p>
    <w:p>
      <w:pPr>
        <w:pStyle w:val="ListNumber"/>
        <w:spacing w:after="40"/>
      </w:pPr>
      <w:r>
        <w:rPr>
          <w:sz w:val="20"/>
        </w:rPr>
        <w:t xml:space="preserve">28. </w:t>
      </w:r>
      <w:hyperlink r:id="rId38">
        <w:r>
          <w:rPr>
            <w:rStyle w:val="Hyperlink"/>
            <w:rFonts w:eastAsia="微软雅黑" w:ascii="微软雅黑" w:hAnsi="微软雅黑"/>
          </w:rPr>
          <w:t>New Acne Products Focus on Skin Health — 2026 市场规模、成分创新与 search 增长数据</w:t>
        </w:r>
      </w:hyperlink>
      <w:r>
        <w:rPr>
          <w:rFonts w:ascii="微软雅黑" w:hAnsi="微软雅黑" w:eastAsia="微软雅黑"/>
          <w:color w:val="595959"/>
          <w:sz w:val="18"/>
        </w:rPr>
        <w:t xml:space="preserve">  https://acneadvocate.com?p=11462/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0"/>
        </w:rPr>
        <w:t>29. 董银卯《化妆品配方设计6步》（理论锚点，书籍）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0"/>
        </w:rPr>
        <w:t>30. 刘玮《皮肤科学与化妆品功效评价》（理论锚点，书籍）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0"/>
        </w:rPr>
        <w:t>31. Cosmeceuticals &amp; Handbook of Cosmetic Science and Technology（理论锚点，书籍）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www.mdpi.com/2076-3417/16/9/4527" TargetMode="External"/><Relationship Id="rId12" Type="http://schemas.openxmlformats.org/officeDocument/2006/relationships/hyperlink" Target="https://www.mdpi.com/2673-6179/6/3/32" TargetMode="External"/><Relationship Id="rId13" Type="http://schemas.openxmlformats.org/officeDocument/2006/relationships/hyperlink" Target="https://www.mdpi.com/2218-1989/16/7/466" TargetMode="External"/><Relationship Id="rId14" Type="http://schemas.openxmlformats.org/officeDocument/2006/relationships/hyperlink" Target="https://pmc.ncbi.nlm.nih.gov/articles/PMC11121268/" TargetMode="External"/><Relationship Id="rId15" Type="http://schemas.openxmlformats.org/officeDocument/2006/relationships/hyperlink" Target="https://pmc.ncbi.nlm.nih.gov/articles/pmid/40422250/" TargetMode="External"/><Relationship Id="rId16" Type="http://schemas.openxmlformats.org/officeDocument/2006/relationships/hyperlink" Target="https://pubmed.ncbi.nlm.nih.gov/36196252/" TargetMode="External"/><Relationship Id="rId17" Type="http://schemas.openxmlformats.org/officeDocument/2006/relationships/hyperlink" Target="https://pubmed.ncbi.nlm.nih.gov/37276158/" TargetMode="External"/><Relationship Id="rId18" Type="http://schemas.openxmlformats.org/officeDocument/2006/relationships/hyperlink" Target="https://pubmed.ncbi.nlm.nih.gov/24628899" TargetMode="External"/><Relationship Id="rId19" Type="http://schemas.openxmlformats.org/officeDocument/2006/relationships/hyperlink" Target="https://pmc.ncbi.nlm.nih.gov/articles/PMC3780801/" TargetMode="External"/><Relationship Id="rId20" Type="http://schemas.openxmlformats.org/officeDocument/2006/relationships/hyperlink" Target="https://www.ncbi.nlm.nih.gov/pmc/articles/PMC2835893/" TargetMode="External"/><Relationship Id="rId21" Type="http://schemas.openxmlformats.org/officeDocument/2006/relationships/hyperlink" Target="https://pmc.ncbi.nlm.nih.gov/articles/PMC5446966" TargetMode="External"/><Relationship Id="rId22" Type="http://schemas.openxmlformats.org/officeDocument/2006/relationships/hyperlink" Target="https://pmc.ncbi.nlm.nih.gov/articles/pmid/32356369/" TargetMode="External"/><Relationship Id="rId23" Type="http://schemas.openxmlformats.org/officeDocument/2006/relationships/hyperlink" Target="https://pubmed.gov/26203267/" TargetMode="External"/><Relationship Id="rId24" Type="http://schemas.openxmlformats.org/officeDocument/2006/relationships/hyperlink" Target="https://pmc.ncbi.nlm.nih.gov/articles/PMC10307753/" TargetMode="External"/><Relationship Id="rId25" Type="http://schemas.openxmlformats.org/officeDocument/2006/relationships/hyperlink" Target="https://ima-files.s3.amazonaws.com/760632_40a80eb4-031e-40e3-b710-7c0ab8eb699d.pdf" TargetMode="External"/><Relationship Id="rId26" Type="http://schemas.openxmlformats.org/officeDocument/2006/relationships/hyperlink" Target="https://www.nmpa.gov.cn/directory/web/nmpa/images/1768200916050068525.docx" TargetMode="External"/><Relationship Id="rId27" Type="http://schemas.openxmlformats.org/officeDocument/2006/relationships/hyperlink" Target="https://www.peopleapp.com/rmharticle/30023838740" TargetMode="External"/><Relationship Id="rId28" Type="http://schemas.openxmlformats.org/officeDocument/2006/relationships/hyperlink" Target="https://www.peopleapp.com/rmharticle/30025099111" TargetMode="External"/><Relationship Id="rId29" Type="http://schemas.openxmlformats.org/officeDocument/2006/relationships/hyperlink" Target="https://m.cqn.com.cn/ms/content/2023-12/05/content_9006641.htm" TargetMode="External"/><Relationship Id="rId30" Type="http://schemas.openxmlformats.org/officeDocument/2006/relationships/hyperlink" Target="https://www.sohu.com/a/738278358_121117467" TargetMode="External"/><Relationship Id="rId31" Type="http://schemas.openxmlformats.org/officeDocument/2006/relationships/hyperlink" Target="https://www.bjjcyjs.com/showinfo-1-3804-0.html" TargetMode="External"/><Relationship Id="rId32" Type="http://schemas.openxmlformats.org/officeDocument/2006/relationships/hyperlink" Target="http://huayutest.com/zixun/93717.html" TargetMode="External"/><Relationship Id="rId33" Type="http://schemas.openxmlformats.org/officeDocument/2006/relationships/hyperlink" Target="https://www.ebiotrade.com/newsf/2026-4/20260417000839757.htm" TargetMode="External"/><Relationship Id="rId34" Type="http://schemas.openxmlformats.org/officeDocument/2006/relationships/hyperlink" Target="https://www.caffcimedia.com/feed/mbkRyxEa" TargetMode="External"/><Relationship Id="rId35" Type="http://schemas.openxmlformats.org/officeDocument/2006/relationships/hyperlink" Target="https://grandingredients.com/bioferments-postbiotics-2026/" TargetMode="External"/><Relationship Id="rId36" Type="http://schemas.openxmlformats.org/officeDocument/2006/relationships/hyperlink" Target="https://www.gsmc.org.cn/zuixinjishu/964.html" TargetMode="External"/><Relationship Id="rId37" Type="http://schemas.openxmlformats.org/officeDocument/2006/relationships/hyperlink" Target="https://gravelai.com/blog/acne-blemish-skincare-trends-2026" TargetMode="External"/><Relationship Id="rId38" Type="http://schemas.openxmlformats.org/officeDocument/2006/relationships/hyperlink" Target="https://acneadvocate.com?p=1146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