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PLLA 聚左旋乳酸：从「童颜针」到「妆字号」的胶原生物刺激材料</w:t>
      </w:r>
    </w:p>
    <w:p>
      <w:r>
        <w:rPr>
          <w:i/>
        </w:rPr>
        <w:t>读懂一类再生材料的机理—配方—市场—合规四重边界，工程师与产品经理共用一页</w:t>
      </w:r>
    </w:p>
    <w:p>
      <w:r>
        <w:t>日期：2026-10-29　第 3/15 期　主题：PLLA/聚左旋乳酸</w:t>
      </w:r>
    </w:p>
    <w:p>
      <w:r>
        <w:rPr>
          <w:b/>
        </w:rPr>
        <w:t xml:space="preserve">一句话双视角: </w:t>
      </w:r>
      <w:r>
        <w:t>工程师视角：PLLA 不靠即时填充，而是以「生物可降解支架」身份触发 M2 巨噬细胞极化→TGF-β1 通路→I/III 型胶原新生，配方核心是微球粒径控制与分散稳定。产品经理视角：它是医美「童颜针」的认知红利，但化妆品只能在「成膜/温和去角质/肤感」的合规身份内讲故事，绝不可宣称「涂抹式童颜针」。</w:t>
      </w:r>
    </w:p>
    <w:p>
      <w:pPr>
        <w:pStyle w:val="Heading1"/>
      </w:pPr>
      <w:r>
        <w:t>一、机理：它不是填充剂，而是「生物刺激支架」</w:t>
      </w:r>
    </w:p>
    <w:p>
      <w:r>
        <w:t>聚左旋乳酸（Poly-L-Lactic Acid, PLLA）是由 L-乳酸单体聚合而成的合成型、可生物降解、生物相容的聚 α-羟基酸高分子。与玻尿酸「物理占位」不同，PLLA 被注入或停留于组织后，靠自身缓慢降解激活机体修复程序，属于「生物刺激剂（biostimulator）」而非传统填充剂。</w:t>
      </w:r>
    </w:p>
    <w:p>
      <w:pPr>
        <w:pStyle w:val="ListBullet"/>
      </w:pPr>
      <w:r>
        <w:t>炎症依赖的异物反应：PLLA 微粒被组织巨噬细胞吞噬，诱导 M2 型巨噬细胞极化，而非强烈急性炎症。</w:t>
      </w:r>
    </w:p>
    <w:p>
      <w:pPr>
        <w:pStyle w:val="ListBullet"/>
      </w:pPr>
      <w:r>
        <w:t>信号级联：经典路径为 M2 极化 → TGF-β1 介导的成纤维细胞活化 → 持续新生胶原（neocollagenesis）；近年证据补充了 Piezo1 机械转导通道与乳酸盐（lactate）信号通路。</w:t>
      </w:r>
    </w:p>
    <w:p>
      <w:pPr>
        <w:pStyle w:val="ListBullet"/>
      </w:pPr>
      <w:r>
        <w:t>胶原时序：体内研究显示 PLLA 微球早期优先刺激 III 型胶原、后期显著上调 I 型胶原，降解周期长，效果可持续 12–24 个月（注射场景）。</w:t>
      </w:r>
    </w:p>
    <w:p>
      <w:pPr>
        <w:pStyle w:val="ListBullet"/>
      </w:pPr>
      <w:r>
        <w:t>形态决定命运：同为 PLLA，微球状制剂促进成纤维细胞迁移、ECM 合成与创面收缩，而微片状会抑制增殖并激活炎症基因——颗粒形貌是配方设计的关键变量。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靶点 / 目标</w:t>
            </w:r>
          </w:p>
        </w:tc>
        <w:tc>
          <w:tcPr>
            <w:tcW w:type="dxa" w:w="2160"/>
          </w:tcPr>
          <w:p>
            <w:r>
              <w:t>核心原料</w:t>
            </w:r>
          </w:p>
        </w:tc>
        <w:tc>
          <w:tcPr>
            <w:tcW w:type="dxa" w:w="2160"/>
          </w:tcPr>
          <w:p>
            <w:r>
              <w:t>建议添加量</w:t>
            </w:r>
          </w:p>
        </w:tc>
        <w:tc>
          <w:tcPr>
            <w:tcW w:type="dxa" w:w="2160"/>
          </w:tcPr>
          <w:p>
            <w:r>
              <w:t>配伍 / pH / 稳定要点</w:t>
            </w:r>
          </w:p>
        </w:tc>
      </w:tr>
      <w:tr>
        <w:tc>
          <w:tcPr>
            <w:tcW w:type="dxa" w:w="2160"/>
          </w:tcPr>
          <w:p>
            <w:r>
              <w:t>真皮成纤维细胞 · TGF-β/Smad 通路</w:t>
            </w:r>
          </w:p>
        </w:tc>
        <w:tc>
          <w:tcPr>
            <w:tcW w:type="dxa" w:w="2160"/>
          </w:tcPr>
          <w:p>
            <w:r>
              <w:t>化妆品级 PLLA 微球/微珠</w:t>
            </w:r>
          </w:p>
        </w:tc>
        <w:tc>
          <w:tcPr>
            <w:tcW w:type="dxa" w:w="2160"/>
          </w:tcPr>
          <w:p>
            <w:r>
              <w:t>0.5–2% (w/w)</w:t>
            </w:r>
          </w:p>
        </w:tc>
        <w:tc>
          <w:tcPr>
            <w:tcW w:type="dxa" w:w="2160"/>
          </w:tcPr>
          <w:p>
            <w:r>
              <w:t>水相分散需表面改性防聚集；中性体系稳定，终端羧基微酸</w:t>
            </w:r>
          </w:p>
        </w:tc>
      </w:tr>
      <w:tr>
        <w:tc>
          <w:tcPr>
            <w:tcW w:type="dxa" w:w="2160"/>
          </w:tcPr>
          <w:p>
            <w:r>
              <w:t>I/III 型胶原新生</w:t>
            </w:r>
          </w:p>
        </w:tc>
        <w:tc>
          <w:tcPr>
            <w:tcW w:type="dxa" w:w="2160"/>
          </w:tcPr>
          <w:p>
            <w:r>
              <w:t>PLLA 微珠 + 透明质酸(HA) 协同</w:t>
            </w:r>
          </w:p>
        </w:tc>
        <w:tc>
          <w:tcPr>
            <w:tcW w:type="dxa" w:w="2160"/>
          </w:tcPr>
          <w:p>
            <w:r>
              <w:t>PLLA 0.5–2% + HA 0.1–1%</w:t>
            </w:r>
          </w:p>
        </w:tc>
        <w:tc>
          <w:tcPr>
            <w:tcW w:type="dxa" w:w="2160"/>
          </w:tcPr>
          <w:p>
            <w:r>
              <w:t>HA 与 PLLA 体外协同促胶原；避免与强阳离子/胺类共用（pH 敏感）</w:t>
            </w:r>
          </w:p>
        </w:tc>
      </w:tr>
      <w:tr>
        <w:tc>
          <w:tcPr>
            <w:tcW w:type="dxa" w:w="2160"/>
          </w:tcPr>
          <w:p>
            <w:r>
              <w:t>温和去角质 / 肤感优化</w:t>
            </w:r>
          </w:p>
        </w:tc>
        <w:tc>
          <w:tcPr>
            <w:tcW w:type="dxa" w:w="2160"/>
          </w:tcPr>
          <w:p>
            <w:r>
              <w:t>化妆品级 PLA/PLLA 微粒（磨砂剂）</w:t>
            </w:r>
          </w:p>
        </w:tc>
        <w:tc>
          <w:tcPr>
            <w:tcW w:type="dxa" w:w="2160"/>
          </w:tcPr>
          <w:p>
            <w:r>
              <w:t>≤10%（PLA 备案上限）</w:t>
            </w:r>
          </w:p>
        </w:tc>
        <w:tc>
          <w:tcPr>
            <w:tcW w:type="dxa" w:w="2160"/>
          </w:tcPr>
          <w:p>
            <w:r>
              <w:t>控粒径避免粗糙感；可作塑料微珠的「可降解」替代</w:t>
            </w:r>
          </w:p>
        </w:tc>
      </w:tr>
      <w:tr>
        <w:tc>
          <w:tcPr>
            <w:tcW w:type="dxa" w:w="2160"/>
          </w:tcPr>
          <w:p>
            <w:r>
              <w:t>成膜 / 轻薄膜感</w:t>
            </w:r>
          </w:p>
        </w:tc>
        <w:tc>
          <w:tcPr>
            <w:tcW w:type="dxa" w:w="2160"/>
          </w:tcPr>
          <w:p>
            <w:r>
              <w:t>PLLA/PLA 成膜剂</w:t>
            </w:r>
          </w:p>
        </w:tc>
        <w:tc>
          <w:tcPr>
            <w:tcW w:type="dxa" w:w="2160"/>
          </w:tcPr>
          <w:p>
            <w:r>
              <w:t>1–5%</w:t>
            </w:r>
          </w:p>
        </w:tc>
        <w:tc>
          <w:tcPr>
            <w:tcW w:type="dxa" w:w="2160"/>
          </w:tcPr>
          <w:p>
            <w:r>
              <w:t>成膜后形成轻薄膜感；与醇类、多元醇相容性佳</w:t>
            </w:r>
          </w:p>
        </w:tc>
      </w:tr>
      <w:tr>
        <w:tc>
          <w:tcPr>
            <w:tcW w:type="dxa" w:w="2160"/>
          </w:tcPr>
          <w:p>
            <w:r>
              <w:t>体系 pH 与货架稳定</w:t>
            </w:r>
          </w:p>
        </w:tc>
        <w:tc>
          <w:tcPr>
            <w:tcW w:type="dxa" w:w="2160"/>
          </w:tcPr>
          <w:p>
            <w:r>
              <w:t>缓冲体系 + PLLA 微粒</w:t>
            </w:r>
          </w:p>
        </w:tc>
        <w:tc>
          <w:tcPr>
            <w:tcW w:type="dxa" w:w="2160"/>
          </w:tcPr>
          <w:p>
            <w:r>
              <w:t>配方 pH 5.5–7.0</w:t>
            </w:r>
          </w:p>
        </w:tc>
        <w:tc>
          <w:tcPr>
            <w:tcW w:type="dxa" w:w="2160"/>
          </w:tcPr>
          <w:p>
            <w:r>
              <w:t>降解产乳酸致 pH 缓降，需缓冲；避光、常温储存，避免长期高温</w:t>
            </w:r>
          </w:p>
        </w:tc>
      </w:tr>
    </w:tbl>
    <w:p>
      <w:pPr>
        <w:pStyle w:val="Heading1"/>
      </w:pPr>
      <w:r>
        <w:t>二、前沿证据（2025–2026 核心原文）</w:t>
      </w:r>
    </w:p>
    <w:p>
      <w:pPr>
        <w:pStyle w:val="ListBullet"/>
      </w:pPr>
      <w:r>
        <w:t>Haykal 等（Aesthetic Surgery Journal, 2025）系统综述 63 篇研究（2013–2025.3），确认 PLLA 通过 M2 巨噬细胞极化、TGF-β1 介导成纤维细胞活化与持续新生胶原，改善真皮密度与肤质，应用已扩展至全身年轻化与「prejuvenation」预防抗衰。</w:t>
      </w:r>
    </w:p>
    <w:p>
      <w:pPr>
        <w:pStyle w:val="ListBullet"/>
      </w:pPr>
      <w:r>
        <w:t>胶原生物刺激剂机制综述（2025）对比 PLLA / CaHA / PCL：PLLA 主要经炎症依赖的异物反应、M2 极化、TGF-β/Smad、Piezo1 与乳酸信号促胶原；CaHA 靠机械转导与钙离子；PCL 走 SAMD11-PLOD1 轴。颗粒形貌显著影响组织免疫原性。</w:t>
      </w:r>
    </w:p>
    <w:p>
      <w:pPr>
        <w:pStyle w:val="ListBullet"/>
      </w:pPr>
      <w:r>
        <w:t>Yu 等（Aesthetic Plastic Surgery, 2025, PMID 40204932）大鼠模型：PLLA 微球早期促 III 型、后期促 I 型胶原（P&lt;0.05），HA 仅促 I 型；PLLA 降解周期长、效果持久，可作皮内胶原再生填充主成分。</w:t>
      </w:r>
    </w:p>
    <w:p>
      <w:pPr>
        <w:pStyle w:val="ListBullet"/>
      </w:pPr>
      <w:r>
        <w:t>J Biomed Mater Res Part A（2025）：PLLA 微球（vs 微片）上调脂肪分化/能量代谢基因、仅引发轻微免疫反应，凸显「微球设计」对疗效与安全性的决定作用。</w:t>
      </w:r>
    </w:p>
    <w:p>
      <w:pPr>
        <w:pStyle w:val="Heading1"/>
      </w:pPr>
      <w:r>
        <w:t>三、配方落地（工程师视角）</w:t>
      </w:r>
    </w:p>
    <w:p>
      <w:r>
        <w:t>PLLA 不溶于水，化妆品端必须用「微球/微珠悬浮体系」而非真溶液。2026 年 5 月昊岭（中山）生物的化妆品级 PLLA 完成新原料备案（国妆原备字20260078），通过粒径控制与表面改性，把原本 20 余万元/kg 的医用微球成本压到同规格的 2% 以内，打开了大众护肤供应链。</w:t>
      </w:r>
    </w:p>
    <w:p>
      <w:pPr>
        <w:pStyle w:val="ListBullet"/>
      </w:pPr>
      <w:r>
        <w:t>分散稳定：PLLA 微珠密度与水相近但易团聚，需用增稠剂/悬浮剂（黄原胶、硅石、卡波）与表面改性构建稳定悬浮，避免货架沉降。</w:t>
      </w:r>
    </w:p>
    <w:p>
      <w:pPr>
        <w:pStyle w:val="ListBullet"/>
      </w:pPr>
      <w:r>
        <w:t>粒径与肤感：化妆品级微珠走「温和去角质 + 肤感」路线，粒径需精细分级，过大有砂砾感、过小失去物理柔肤价值。</w:t>
      </w:r>
    </w:p>
    <w:p>
      <w:pPr>
        <w:pStyle w:val="ListBullet"/>
      </w:pPr>
      <w:r>
        <w:t>pH 缓冲：终端羧基使体系微酸，降解又产乳酸；建议 pH 5.5–7.0 并用缓冲对，防止长期储存 pH 漂移影响活性与稳定性。</w:t>
      </w:r>
    </w:p>
    <w:p>
      <w:pPr>
        <w:pStyle w:val="ListBullet"/>
      </w:pPr>
      <w:r>
        <w:t>配伍禁忌：避免与强阳离子表活、伯/仲胺类（如部分氨基酸、三乙醇胺）长时间高温共存，防止酯键加速水解或电荷絮凝。</w:t>
      </w:r>
    </w:p>
    <w:p>
      <w:pPr>
        <w:pStyle w:val="Heading1"/>
      </w:pPr>
      <w:r>
        <w:t>四、市场沟通（产品经理视角）</w:t>
      </w:r>
    </w:p>
    <w:p>
      <w:r>
        <w:rPr>
          <w:b/>
        </w:rPr>
        <w:t xml:space="preserve">产品经理金句: </w:t>
      </w:r>
      <w:r>
        <w:t>「童颜针同款成分」是流量钩子，但「涂抹式童颜针」是合规雷区。把 PLLA 讲成「可降解、亲肤、改善肤感与细腻度的高分子」，既蹭到认知红利，又守住宣称边界。</w:t>
      </w:r>
    </w:p>
    <w:p>
      <w:pPr>
        <w:pStyle w:val="ListBullet"/>
      </w:pPr>
      <w:r>
        <w:t>认知红利真实存在：医美端 PLLA「童颜针」2021 年国内首获批后规模从约 1 亿元（2021）冲至约 11 亿元（2024），2030 年预估约 41 亿元；截至 2026 年 9 月国内已批准 15 款童颜针，新氧等平台把单价打到 2999–4999 元/支，「抗衰」大众心智已建立。</w:t>
      </w:r>
    </w:p>
    <w:p>
      <w:pPr>
        <w:pStyle w:val="ListBullet"/>
      </w:pPr>
      <w:r>
        <w:t>C 端窗口期：PLLA 化妆品备案已从 2026 年 5 月首备案快速增至约 23 款完成备案、50+ 申报中，以水光液、精华、面霜为主，正是抢先占位的好时机。</w:t>
      </w:r>
    </w:p>
    <w:p>
      <w:pPr>
        <w:pStyle w:val="ListBullet"/>
      </w:pPr>
      <w:r>
        <w:t>消费者语言：用「可降解高分子微珠 / 细腻肤感 / 温和物理柔嫩」替代「再生胶原」医疗叙事；搭配 HA、多肽做协同故事线更稳妥。</w:t>
      </w:r>
    </w:p>
    <w:p>
      <w:pPr>
        <w:pStyle w:val="ListBullet"/>
      </w:pPr>
      <w:r>
        <w:t>风险预期：新原料尚在安全监测期，首批产品需做好功效与安全性数据沉淀，避免「虚假稀缺」式过度营销透支信任。</w:t>
      </w:r>
    </w:p>
    <w:p>
      <w:pPr>
        <w:pStyle w:val="Heading1"/>
      </w:pPr>
      <w:r>
        <w:t>五、合规红线（最致命的部分）</w:t>
      </w:r>
    </w:p>
    <w:p>
      <w:r>
        <w:rPr>
          <w:b/>
        </w:rPr>
        <w:t xml:space="preserve">⚠ 合规红线: </w:t>
      </w:r>
      <w:r>
        <w:t>注射级 PLLA（三类医疗器械「童颜针」）与化妆品级 PLLA（新原料备案）是两套完全不同的监管身份。普通化妆品严禁宣称「刺激胶原蛋白再生」「童颜针同款」「涂抹式童颜针」等医疗/注射功效；PLLA 新原料仍在安全监测期，须严格遵循备案的使用目的与安全用量。</w:t>
      </w:r>
    </w:p>
    <w:p>
      <w:pPr>
        <w:pStyle w:val="ListBullet"/>
      </w:pPr>
      <w:r>
        <w:t>身份边界：聚乳酸（PLA，国妆原备字20220028）法定使用目的仅为成膜剂、磨砂剂、乳化稳定剂、乳化剂，安全用量 ≤10%；PLLA（国妆原备字20260078）走温和去角质、改善肤感、成膜保湿方向。</w:t>
      </w:r>
    </w:p>
    <w:p>
      <w:pPr>
        <w:pStyle w:val="ListBullet"/>
      </w:pPr>
      <w:r>
        <w:t>宣称边界：任何普通化妆品不得把注射领域的「刺激胶原再生、填充塑形」话术平移到日常护肤；「妆械融合」可做成分叙事，但不能越医疗功效之线。</w:t>
      </w:r>
    </w:p>
    <w:p>
      <w:pPr>
        <w:pStyle w:val="ListBullet"/>
      </w:pPr>
      <w:r>
        <w:t>监测期义务：新原料安全监测期内，企业须按要求报送使用与安全信息，超范围使用或超量添加属违规。</w:t>
      </w:r>
    </w:p>
    <w:p>
      <w:pPr>
        <w:pStyle w:val="ListBullet"/>
      </w:pPr>
      <w:r>
        <w:t>注射风险警示：医美注射 PLLA 历史上曾现结节等不良反应，与复溶、注射层次、技术相关，只能由合规机构专业人员使用获批产品——此点可在内容科普中正向引导，反衬日常护肤的「温和」定位。</w:t>
      </w:r>
    </w:p>
    <w:p>
      <w:pPr>
        <w:pStyle w:val="Heading1"/>
      </w:pPr>
      <w:r>
        <w:t>六、行动清单（双视角）</w:t>
      </w:r>
    </w:p>
    <w:p>
      <w:pPr>
        <w:pStyle w:val="ListBullet"/>
      </w:pPr>
      <w:r>
        <w:t>工程师：立项先锁定化妆品级 PLLA 备案原料（国妆原备字20260078 体系），验证微珠粒径、表面改性剂与悬浮体系，做 3 个月货架稳定性（沉降、pH 漂移）。</w:t>
      </w:r>
    </w:p>
    <w:p>
      <w:pPr>
        <w:pStyle w:val="ListBullet"/>
      </w:pPr>
      <w:r>
        <w:t>工程师：与备案人确认安全用量上限与使用目的，配方 pH 控在 5.5–7.0 并用缓冲对；配伍测试避开强阳离子/胺类。</w:t>
      </w:r>
    </w:p>
    <w:p>
      <w:pPr>
        <w:pStyle w:val="ListBullet"/>
      </w:pPr>
      <w:r>
        <w:t>产品经理：用「可降解高分子微珠 + 细腻肤感」做核心卖点，借「童颜针」认知做科普钩子，但话术过合规红线前先让法规审核。</w:t>
      </w:r>
    </w:p>
    <w:p>
      <w:pPr>
        <w:pStyle w:val="ListBullet"/>
      </w:pPr>
      <w:r>
        <w:t>产品经理：抢 2026 年 PLLA 化妆品窗口期，优先水光液/精华/面霜形态，搭配 HA/多肽讲协同，沉淀首批真实功效数据。</w:t>
      </w:r>
    </w:p>
    <w:p>
      <w:r>
        <w:t>参考来源：</w:t>
      </w:r>
    </w:p>
    <w:p>
      <w:pPr>
        <w:pStyle w:val="ListBullet"/>
      </w:pPr>
      <w:r>
        <w:t>Haykal D, et al. Poly-L-Lactic Acid in Aesthetic Dermatology: A Decade Beyond Volume Restoration Toward Regenerative Biostimulation. Aesthetic Surgery Journal, 2025. — https://doi.org/10.1093/asj/sjaf121</w:t>
      </w:r>
    </w:p>
    <w:p>
      <w:pPr>
        <w:pStyle w:val="ListBullet"/>
      </w:pPr>
      <w:r>
        <w:t>Mechanistic aspects of collagen biostimulators: calcium hydroxyapatite, poly-l-lactic acid and polycaprolactone – A review, 2025. — https://dx.doi.org/10.34119/bjhrv8n6-381</w:t>
      </w:r>
    </w:p>
    <w:p>
      <w:pPr>
        <w:pStyle w:val="ListBullet"/>
      </w:pPr>
      <w:r>
        <w:t>Yu H, et al. In Vivo Effectiveness of Poly-L-Lactic Acid Microsphere Dermal Fillers in Stimulating Collagen Synthesis. Aesthetic Plast Surg, 2025 (PMID 40204932). — https://pubmed.ncbi.nlm.nih.gov/40204932/</w:t>
      </w:r>
    </w:p>
    <w:p>
      <w:pPr>
        <w:pStyle w:val="ListBullet"/>
      </w:pPr>
      <w:r>
        <w:t>A Reappraisal of Poly-l-Lactic Acid in Facial and Body Aesthetic Indications. MDPI, 2025/2026. — https://www.mdpi.com/2079-9284/13/2/54/htm</w:t>
      </w:r>
    </w:p>
    <w:p>
      <w:pPr>
        <w:pStyle w:val="ListBullet"/>
      </w:pPr>
      <w:r>
        <w:t>聚-L-乳酸微球通过增强成纤维细胞功能促进皮肤年轻化（J Biomed Mater Res Part A 报道）. — https://ebiotrade.com/newsf/2025-11/20251112001043980.htm</w:t>
      </w:r>
    </w:p>
    <w:p>
      <w:pPr>
        <w:pStyle w:val="ListBullet"/>
      </w:pPr>
      <w:r>
        <w:t>史上最低价童颜针，靠谱吗？——中国经济网/中国新闻周刊，2025. — https://wap.ce.cn/xwzx/shgj/gdxw/202512/t20251202_2615001.shtml</w:t>
      </w:r>
    </w:p>
    <w:p>
      <w:pPr>
        <w:pStyle w:val="ListBullet"/>
      </w:pPr>
      <w:r>
        <w:t>从可吸收缝合线到「童颜针」再到日常护肤：聚乳酸以「妆字号」新原料走进代工厂——微肽集团. — https://www.weitaigd.com/news/art-160-pla01</w:t>
      </w:r>
    </w:p>
    <w:p>
      <w:pPr>
        <w:pStyle w:val="ListBullet"/>
      </w:pPr>
      <w:r>
        <w:t>PLLA 化妆品备案数量暴增至 23 款——美妆头条. — https://mztoutiao.com/index.php/index/index/wenzhang.html?id=4456</w:t>
      </w:r>
    </w:p>
    <w:p>
      <w:pPr>
        <w:pStyle w:val="ListBullet"/>
      </w:pPr>
      <w:r>
        <w:t xml:space="preserve">董银卯《化妆品配方设计6步》 — </w:t>
      </w:r>
    </w:p>
    <w:p>
      <w:pPr>
        <w:pStyle w:val="ListBullet"/>
      </w:pPr>
      <w:r>
        <w:t xml:space="preserve">刘玮《皮肤科学与化妆品功效评价》 — </w:t>
      </w:r>
    </w:p>
    <w:p>
      <w:pPr>
        <w:pStyle w:val="ListBullet"/>
      </w:pPr>
      <w:r>
        <w:t xml:space="preserve">Zoe Diana Draelos《Cosmeceuticals》 — </w:t>
      </w:r>
    </w:p>
    <w:p>
      <w:pPr>
        <w:pStyle w:val="ListBullet"/>
      </w:pPr>
      <w:r>
        <w:t xml:space="preserve">Barel AO, et al.《Handbook of Cosmetic Science and Technology》 —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