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光老化：从光子到胶原降解的全链路拆解</w:t>
      </w:r>
    </w:p>
    <w:p>
      <w:r>
        <w:rPr>
          <w:i/>
        </w:rPr>
        <w:t>UVB 断 DNA、UVA/可见光/红外靠 ROS 激活 MMP——抗光老不是防晒一支药，而是一张「光保护矩阵」</w:t>
      </w:r>
    </w:p>
    <w:p>
      <w:r>
        <w:t>日期：2026-11-01　第 6/15 期　主题：光老化：UV、ROS 与胶原降解　视角：工程师×产品经理</w:t>
      </w:r>
    </w:p>
    <w:p>
      <w:r>
        <w:rPr>
          <w:b/>
        </w:rPr>
        <w:t xml:space="preserve">一句话结论（双视角）: </w:t>
      </w:r>
      <w:r>
        <w:t>工程师视角：光老化是一条级联链——UVB 直接制造 DNA 环丁烷嘧啶二聚体(CPDs)，UVA/可见光/红外则经活性氧(ROS)激活 AP-1/NF-κB，上调 MMP-1/3/9/12 降解 I/III 型胶原、并抑制 TGF-β 胶原合成，产品必须「防晒+抗氧+修护+胶原支持」四段协同。产品经理视角：消费者理解的「抗老」是「紧致+淡纹+不暗沉+不敏感」，而不是成分浓度内卷——2026 的市场语言已从「猛药速效」切到「温和长效、多靶点协同」。</w:t>
      </w:r>
    </w:p>
    <w:p>
      <w:pPr>
        <w:pStyle w:val="Heading1"/>
      </w:pPr>
      <w:r>
        <w:t>一、机理：从光子到胶原降解的级联反应</w:t>
      </w:r>
    </w:p>
    <w:p>
      <w:r>
        <w:t>光老化是紫外线(UV)为主、可见光(VL)与红外(IR)为辅的外源性老化。不同波段穿透深度与损伤机制各异：UVB(280–315nm)能量高，主要抵达表皮，直接诱导核 DNA 形成 CPDs 与 6-4 光产物，是晒伤与突变的主因；UVA(315–400nm)穿透至真皮，经光敏剂生成 ROS 间接破坏线粒体 DNA；可见光中 435–500nm 蓝紫光稳定酪氨酸酶致持久色素沉着；红外(&gt;780nm)经热效应激活 TRPV1、上调 MMP-1 加速胶原降解。ROS 是核心驱动因子：经 MAPK 通路激活转录因子 AP-1 与 NF-κB，上调 MMP-1/3/9/12 降解胶原，同时 AP-1 诱导 Smad7 抑制 TGF-β/Smad2/3，进一步压低 COL1A1 胶原合成——「降解↑+合成↓」双向绞杀真皮层。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波段</w:t>
            </w:r>
          </w:p>
        </w:tc>
        <w:tc>
          <w:tcPr>
            <w:tcW w:type="dxa" w:w="2160"/>
          </w:tcPr>
          <w:p>
            <w:r>
              <w:t>穿透层</w:t>
            </w:r>
          </w:p>
        </w:tc>
        <w:tc>
          <w:tcPr>
            <w:tcW w:type="dxa" w:w="2160"/>
          </w:tcPr>
          <w:p>
            <w:r>
              <w:t>核心损伤机制</w:t>
            </w:r>
          </w:p>
        </w:tc>
        <w:tc>
          <w:tcPr>
            <w:tcW w:type="dxa" w:w="2160"/>
          </w:tcPr>
          <w:p>
            <w:r>
              <w:t>关键生物标志</w:t>
            </w:r>
          </w:p>
        </w:tc>
      </w:tr>
      <w:tr>
        <w:tc>
          <w:tcPr>
            <w:tcW w:type="dxa" w:w="2160"/>
          </w:tcPr>
          <w:p>
            <w:r>
              <w:t>UVB 280–315nm</w:t>
            </w:r>
          </w:p>
        </w:tc>
        <w:tc>
          <w:tcPr>
            <w:tcW w:type="dxa" w:w="2160"/>
          </w:tcPr>
          <w:p>
            <w:r>
              <w:t>表皮</w:t>
            </w:r>
          </w:p>
        </w:tc>
        <w:tc>
          <w:tcPr>
            <w:tcW w:type="dxa" w:w="2160"/>
          </w:tcPr>
          <w:p>
            <w:r>
              <w:t>直接 DNA 损伤(CPDs/6-4PP)，晒伤、炎症</w:t>
            </w:r>
          </w:p>
        </w:tc>
        <w:tc>
          <w:tcPr>
            <w:tcW w:type="dxa" w:w="2160"/>
          </w:tcPr>
          <w:p>
            <w:r>
              <w:t>CPDs、p53、IL-1β/TNF-α</w:t>
            </w:r>
          </w:p>
        </w:tc>
      </w:tr>
      <w:tr>
        <w:tc>
          <w:tcPr>
            <w:tcW w:type="dxa" w:w="2160"/>
          </w:tcPr>
          <w:p>
            <w:r>
              <w:t>UVA 315–400nm</w:t>
            </w:r>
          </w:p>
        </w:tc>
        <w:tc>
          <w:tcPr>
            <w:tcW w:type="dxa" w:w="2160"/>
          </w:tcPr>
          <w:p>
            <w:r>
              <w:t>真皮</w:t>
            </w:r>
          </w:p>
        </w:tc>
        <w:tc>
          <w:tcPr>
            <w:tcW w:type="dxa" w:w="2160"/>
          </w:tcPr>
          <w:p>
            <w:r>
              <w:t>ROS↑→MMP-1↑、mtDNA 缺失</w:t>
            </w:r>
          </w:p>
        </w:tc>
        <w:tc>
          <w:tcPr>
            <w:tcW w:type="dxa" w:w="2160"/>
          </w:tcPr>
          <w:p>
            <w:r>
              <w:t>8-OHdG、MMP-1、胶原碎片</w:t>
            </w:r>
          </w:p>
        </w:tc>
      </w:tr>
      <w:tr>
        <w:tc>
          <w:tcPr>
            <w:tcW w:type="dxa" w:w="2160"/>
          </w:tcPr>
          <w:p>
            <w:r>
              <w:t>可见光 380–780nm</w:t>
            </w:r>
          </w:p>
        </w:tc>
        <w:tc>
          <w:tcPr>
            <w:tcW w:type="dxa" w:w="2160"/>
          </w:tcPr>
          <w:p>
            <w:r>
              <w:t>表皮/真皮</w:t>
            </w:r>
          </w:p>
        </w:tc>
        <w:tc>
          <w:tcPr>
            <w:tcW w:type="dxa" w:w="2160"/>
          </w:tcPr>
          <w:p>
            <w:r>
              <w:t>蓝紫光稳定酪氨酸酶，持久色沉</w:t>
            </w:r>
          </w:p>
        </w:tc>
        <w:tc>
          <w:tcPr>
            <w:tcW w:type="dxa" w:w="2160"/>
          </w:tcPr>
          <w:p>
            <w:r>
              <w:t>黑素指数 MI↑、色素异常</w:t>
            </w:r>
          </w:p>
        </w:tc>
      </w:tr>
      <w:tr>
        <w:tc>
          <w:tcPr>
            <w:tcW w:type="dxa" w:w="2160"/>
          </w:tcPr>
          <w:p>
            <w:r>
              <w:t>红外 IR &gt;780nm</w:t>
            </w:r>
          </w:p>
        </w:tc>
        <w:tc>
          <w:tcPr>
            <w:tcW w:type="dxa" w:w="2160"/>
          </w:tcPr>
          <w:p>
            <w:r>
              <w:t>真皮</w:t>
            </w:r>
          </w:p>
        </w:tc>
        <w:tc>
          <w:tcPr>
            <w:tcW w:type="dxa" w:w="2160"/>
          </w:tcPr>
          <w:p>
            <w:r>
              <w:t>热效应激活 TRPV1，上调 MMP-1</w:t>
            </w:r>
          </w:p>
        </w:tc>
        <w:tc>
          <w:tcPr>
            <w:tcW w:type="dxa" w:w="2160"/>
          </w:tcPr>
          <w:p>
            <w:r>
              <w:t>HSP27/70、MMP-1↑、弹性纤维变性</w:t>
            </w:r>
          </w:p>
        </w:tc>
      </w:tr>
      <w:tr>
        <w:tc>
          <w:tcPr>
            <w:tcW w:type="dxa" w:w="2160"/>
          </w:tcPr>
          <w:p>
            <w:r>
              <w:t>ROS 贡献占比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可见光 50% / UVA 46% / UVB 仅 4%</w:t>
            </w:r>
          </w:p>
        </w:tc>
        <w:tc>
          <w:tcPr>
            <w:tcW w:type="dxa" w:w="2160"/>
          </w:tcPr>
          <w:p>
            <w:r>
              <w:t>说明「广谱防护」必须覆盖 VL-IR</w:t>
            </w:r>
          </w:p>
        </w:tc>
      </w:tr>
    </w:tbl>
    <w:p>
      <w:r>
        <w:rPr>
          <w:b/>
        </w:rPr>
        <w:t xml:space="preserve">工程师要点: </w:t>
      </w:r>
      <w:r>
        <w:t>ROS 生成占比中可见光(50%)竟高于 UVA(46%)，这意味着只防 UV 的防晒霜对「抗光老」存在光谱盲区——2026 趋势是覆盖 UV-VL-IR 的「全波段活性光保护」(活性抗氧化剂+DNA 修复酶协同)。</w:t>
      </w:r>
    </w:p>
    <w:p>
      <w:pPr>
        <w:pStyle w:val="Heading1"/>
      </w:pPr>
      <w:r>
        <w:t>二、前沿证据（2025–2026）</w:t>
      </w:r>
    </w:p>
    <w:p>
      <w:pPr>
        <w:pStyle w:val="ListBullet"/>
      </w:pPr>
      <w:r>
        <w:t>2025 年《Journal of Dermatologic Science and Cosmetic Technology》刊出综述《Key Targets and Pathways in Skin Photoaging》，系统归纳 UV/VL/IR 各自的分子靶点，提出「广谱防护」需覆盖全波段并配伍抗氧化剂。</w:t>
      </w:r>
    </w:p>
    <w:p>
      <w:pPr>
        <w:pStyle w:val="ListBullet"/>
      </w:pPr>
      <w:r>
        <w:t>「活性光保护(active photoprotection)」成为研究热点：在防晒剂之外加入非过滤型成分（维生素 C/E 等抗氧化剂、光解酶/OGG1 等 DNA 修复酶），弥补传统防晒霜对真皮 ROS 与 DNA 损伤防护的不足。</w:t>
      </w:r>
    </w:p>
    <w:p>
      <w:pPr>
        <w:pStyle w:val="ListBullet"/>
      </w:pPr>
      <w:r>
        <w:t>递送技术创新：间充质干细胞外泌体(MSC-exo)经 miR-29a/miR-145 抑制 MMP、促进 I/III 型胶原；纳米粒、脂质体包裹提升活性物透皮与驻留。</w:t>
      </w:r>
    </w:p>
    <w:p>
      <w:pPr>
        <w:pStyle w:val="ListBullet"/>
      </w:pPr>
      <w:r>
        <w:t>行业新方向「热老化」：红外/高温使皮肤温度每升 1°C 胶原分解加速，催生「热防护」配方（热休克蛋白保护、降温舒缓成分），目前内容科普缺口大、认知高地待占。</w:t>
      </w:r>
    </w:p>
    <w:p>
      <w:pPr>
        <w:pStyle w:val="Heading1"/>
      </w:pPr>
      <w:r>
        <w:t>三、配方落地：靶点→原料→添加量→配伍/稳定（工程师视角）</w:t>
      </w:r>
    </w:p>
    <w:p>
      <w:r>
        <w:rPr>
          <w:b/>
        </w:rPr>
        <w:t xml:space="preserve">配方师速查表: </w:t>
      </w:r>
      <w:r>
        <w:t>下表为「光保护矩阵」核心活性物落点：靶点、建议添加量、配伍/pH/稳定要点。注意所有维 A 类与防晒宣称均需合规备案与功效评价支撑。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原料</w:t>
            </w:r>
          </w:p>
        </w:tc>
        <w:tc>
          <w:tcPr>
            <w:tcW w:type="dxa" w:w="2160"/>
          </w:tcPr>
          <w:p>
            <w:r>
              <w:t>靶点/作用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视黄醇 Retinol</w:t>
            </w:r>
          </w:p>
        </w:tc>
        <w:tc>
          <w:tcPr>
            <w:tcW w:type="dxa" w:w="2160"/>
          </w:tcPr>
          <w:p>
            <w:r>
              <w:t>结合 RXR/RAR 核受体，上调 COL1A1、促进 ECM 与透明质酸新生</w:t>
            </w:r>
          </w:p>
        </w:tc>
        <w:tc>
          <w:tcPr>
            <w:tcW w:type="dxa" w:w="2160"/>
          </w:tcPr>
          <w:p>
            <w:r>
              <w:t>0.1%–0.3%（国内备案上限 1%）</w:t>
            </w:r>
          </w:p>
        </w:tc>
        <w:tc>
          <w:tcPr>
            <w:tcW w:type="dxa" w:w="2160"/>
          </w:tcPr>
          <w:p>
            <w:r>
              <w:t>光/氧不稳定，需脂质体包裹+夜间使用；pH 5.5–6.5；遵循「先修护后抗老」降刺激</w:t>
            </w:r>
          </w:p>
        </w:tc>
      </w:tr>
      <w:tr>
        <w:tc>
          <w:tcPr>
            <w:tcW w:type="dxa" w:w="2160"/>
          </w:tcPr>
          <w:p>
            <w:r>
              <w:t>原型 VC（L-抗坏血酸）</w:t>
            </w:r>
          </w:p>
        </w:tc>
        <w:tc>
          <w:tcPr>
            <w:tcW w:type="dxa" w:w="2160"/>
          </w:tcPr>
          <w:p>
            <w:r>
              <w:t>直接清除 ROS、促进胶原合成、抑制酪氨酸酶</w:t>
            </w:r>
          </w:p>
        </w:tc>
        <w:tc>
          <w:tcPr>
            <w:tcW w:type="dxa" w:w="2160"/>
          </w:tcPr>
          <w:p>
            <w:r>
              <w:t>5%–15%（约 10–20% 较常用）</w:t>
            </w:r>
          </w:p>
        </w:tc>
        <w:tc>
          <w:tcPr>
            <w:tcW w:type="dxa" w:w="2160"/>
          </w:tcPr>
          <w:p>
            <w:r>
              <w:t>pH≤3.5 才稳定溶解；极易氧化需避氧/充氮+VE 协同；与烟酰胺分仓避免变色</w:t>
            </w:r>
          </w:p>
        </w:tc>
      </w:tr>
      <w:tr>
        <w:tc>
          <w:tcPr>
            <w:tcW w:type="dxa" w:w="2160"/>
          </w:tcPr>
          <w:p>
            <w:r>
              <w:t>烟酰胺 Niacinamide</w:t>
            </w:r>
          </w:p>
        </w:tc>
        <w:tc>
          <w:tcPr>
            <w:tcW w:type="dxa" w:w="2160"/>
          </w:tcPr>
          <w:p>
            <w:r>
              <w:t>修复屏障、抑制黑素转运、控油</w:t>
            </w:r>
          </w:p>
        </w:tc>
        <w:tc>
          <w:tcPr>
            <w:tcW w:type="dxa" w:w="2160"/>
          </w:tcPr>
          <w:p>
            <w:r>
              <w:t>2%–5%（美白/控油主力区）</w:t>
            </w:r>
          </w:p>
        </w:tc>
        <w:tc>
          <w:tcPr>
            <w:tcW w:type="dxa" w:w="2160"/>
          </w:tcPr>
          <w:p>
            <w:r>
              <w:t>pH 5–7 中性稳定；&gt;5% 烟酸残留刺激风险升高；可与 VC 同体系但控 pH</w:t>
            </w:r>
          </w:p>
        </w:tc>
      </w:tr>
      <w:tr>
        <w:tc>
          <w:tcPr>
            <w:tcW w:type="dxa" w:w="2160"/>
          </w:tcPr>
          <w:p>
            <w:r>
              <w:t>依克多因 Ectoin</w:t>
            </w:r>
          </w:p>
        </w:tc>
        <w:tc>
          <w:tcPr>
            <w:tcW w:type="dxa" w:w="2160"/>
          </w:tcPr>
          <w:p>
            <w:r>
              <w:t>优先排斥效应，在蛋白/膜周形成水化屏障，抵御 UV 与热应激</w:t>
            </w:r>
          </w:p>
        </w:tc>
        <w:tc>
          <w:tcPr>
            <w:tcW w:type="dxa" w:w="2160"/>
          </w:tcPr>
          <w:p>
            <w:r>
              <w:t>0.5%–2%（1% 即起效）</w:t>
            </w:r>
          </w:p>
        </w:tc>
        <w:tc>
          <w:tcPr>
            <w:tcW w:type="dxa" w:w="2160"/>
          </w:tcPr>
          <w:p>
            <w:r>
              <w:t>全 pH 稳定、耐热；敏感肌标配，可与麦角硫因协同</w:t>
            </w:r>
          </w:p>
        </w:tc>
      </w:tr>
      <w:tr>
        <w:tc>
          <w:tcPr>
            <w:tcW w:type="dxa" w:w="2160"/>
          </w:tcPr>
          <w:p>
            <w:r>
              <w:t>麦角硫因 Ergothioneine</w:t>
            </w:r>
          </w:p>
        </w:tc>
        <w:tc>
          <w:tcPr>
            <w:tcW w:type="dxa" w:w="2160"/>
          </w:tcPr>
          <w:p>
            <w:r>
              <w:t>经 OCTN1 转运蛋白主动入线粒体，靶向抗氧化</w:t>
            </w:r>
          </w:p>
        </w:tc>
        <w:tc>
          <w:tcPr>
            <w:tcW w:type="dxa" w:w="2160"/>
          </w:tcPr>
          <w:p>
            <w:r>
              <w:t>0.01%–0.05%（100–5000 ppm）</w:t>
            </w:r>
          </w:p>
        </w:tc>
        <w:tc>
          <w:tcPr>
            <w:tcW w:type="dxa" w:w="2160"/>
          </w:tcPr>
          <w:p>
            <w:r>
              <w:t>全 pH 稳定、高纯度；与依克多因「防护+修护+抗氧化」三重协同</w:t>
            </w:r>
          </w:p>
        </w:tc>
      </w:tr>
      <w:tr>
        <w:tc>
          <w:tcPr>
            <w:tcW w:type="dxa" w:w="2160"/>
          </w:tcPr>
          <w:p>
            <w:r>
              <w:t>玻色因 Pro-xylane</w:t>
            </w:r>
          </w:p>
        </w:tc>
        <w:tc>
          <w:tcPr>
            <w:tcW w:type="dxa" w:w="2160"/>
          </w:tcPr>
          <w:p>
            <w:r>
              <w:t>激活糖胺聚糖(GAG)与胶原蛋白生成</w:t>
            </w:r>
          </w:p>
        </w:tc>
        <w:tc>
          <w:tcPr>
            <w:tcW w:type="dxa" w:w="2160"/>
          </w:tcPr>
          <w:p>
            <w:r>
              <w:t>3%–10%</w:t>
            </w:r>
          </w:p>
        </w:tc>
        <w:tc>
          <w:tcPr>
            <w:tcW w:type="dxa" w:w="2160"/>
          </w:tcPr>
          <w:p>
            <w:r>
              <w:t>水溶、温和稳定；可与肽类/视黄醇复配做支撑体系</w:t>
            </w:r>
          </w:p>
        </w:tc>
      </w:tr>
      <w:tr>
        <w:tc>
          <w:tcPr>
            <w:tcW w:type="dxa" w:w="2160"/>
          </w:tcPr>
          <w:p>
            <w:r>
              <w:t>信号肽（棕榈酰三肽-1/六胜肽）</w:t>
            </w:r>
          </w:p>
        </w:tc>
        <w:tc>
          <w:tcPr>
            <w:tcW w:type="dxa" w:w="2160"/>
          </w:tcPr>
          <w:p>
            <w:r>
              <w:t>信号肽调控 ECM 代谢、舒缓表情纹</w:t>
            </w:r>
          </w:p>
        </w:tc>
        <w:tc>
          <w:tcPr>
            <w:tcW w:type="dxa" w:w="2160"/>
          </w:tcPr>
          <w:p>
            <w:r>
              <w:t>0.5%–2%</w:t>
            </w:r>
          </w:p>
        </w:tc>
        <w:tc>
          <w:tcPr>
            <w:tcW w:type="dxa" w:w="2160"/>
          </w:tcPr>
          <w:p>
            <w:r>
              <w:t>水溶；避免强酸碱与高螯合剂；与抗氧体系相容</w:t>
            </w:r>
          </w:p>
        </w:tc>
      </w:tr>
      <w:tr>
        <w:tc>
          <w:tcPr>
            <w:tcW w:type="dxa" w:w="2160"/>
          </w:tcPr>
          <w:p>
            <w:r>
              <w:t>防晒剂（氧化锌/阿伏苯宗等）</w:t>
            </w:r>
          </w:p>
        </w:tc>
        <w:tc>
          <w:tcPr>
            <w:tcW w:type="dxa" w:w="2160"/>
          </w:tcPr>
          <w:p>
            <w:r>
              <w:t>物理/化学阻断 UV，第一道防线</w:t>
            </w:r>
          </w:p>
        </w:tc>
        <w:tc>
          <w:tcPr>
            <w:tcW w:type="dxa" w:w="2160"/>
          </w:tcPr>
          <w:p>
            <w:r>
              <w:t>SPF30–50，广谱 λc≥370nm</w:t>
            </w:r>
          </w:p>
        </w:tc>
        <w:tc>
          <w:tcPr>
            <w:tcW w:type="dxa" w:w="2160"/>
          </w:tcPr>
          <w:p>
            <w:r>
              <w:t>阿伏苯宗需光稳定剂；防水需 40/80min 浸泡测试；与抗氧剂协同补光谱盲区</w:t>
            </w:r>
          </w:p>
        </w:tc>
      </w:tr>
    </w:tbl>
    <w:p>
      <w:r>
        <w:t>体系设计原则：以「防晒(挡光子) + 抗氧化(清 ROS) + 修护(补屏障) + 胶原支持(视黄醇/肽/玻色因)」四段闭合为骨架。活性物之间优先「分仓储存」解决共存失活（如 VC 与烟酰胺），或以包裹/乙酰化修饰提升脂溶性与透皮；先修护屏障再上功效活性，是 2026 降低刺激、提升长周期依从性的共识路径。</w:t>
      </w:r>
    </w:p>
    <w:p>
      <w:pPr>
        <w:pStyle w:val="Heading1"/>
      </w:pPr>
      <w:r>
        <w:t>四、市场沟通：把机理翻译成购买理由（产品经理视角）</w:t>
      </w:r>
    </w:p>
    <w:p>
      <w:pPr>
        <w:pStyle w:val="ListBullet"/>
      </w:pPr>
      <w:r>
        <w:t>成分透明化与靶点叙事：小红书 73% 的美妆内容点名具体活性物，含糊的「抗老配方」已无法成交；要讲清「某多肽如何在真皮层面激活胶原合成」。</w:t>
      </w:r>
    </w:p>
    <w:p>
      <w:pPr>
        <w:pStyle w:val="ListBullet"/>
      </w:pPr>
      <w:r>
        <w:t>从「浓度内卷」转向「递送效率」：消费者开始为「高利用率」而非「高浓度」买单，包裹技术、纳米粒、OCTN1 主动转运是溢价支点。</w:t>
      </w:r>
    </w:p>
    <w:p>
      <w:pPr>
        <w:pStyle w:val="ListBullet"/>
      </w:pPr>
      <w:r>
        <w:t>复合叙事替代单点：抗氧+修护+防晒的「光保护矩阵」，比单一猛药更易被敏感肌与新手接受，契合「温和长效」趋势。</w:t>
      </w:r>
    </w:p>
    <w:p>
      <w:pPr>
        <w:pStyle w:val="ListBullet"/>
      </w:pPr>
      <w:r>
        <w:t>抢占「热防护/热老化」认知高地：目前科普缺口大，谁能先做深度内容，谁占先发；但需注意宣称不越界。</w:t>
      </w:r>
    </w:p>
    <w:p>
      <w:pPr>
        <w:pStyle w:val="ListBullet"/>
      </w:pPr>
      <w:r>
        <w:t>人群前置：抗老消费核心已是 20–29 岁「预防性抗老」，沟通要从「逆转」转向「预防+维稳」。</w:t>
      </w:r>
    </w:p>
    <w:p>
      <w:pPr>
        <w:pStyle w:val="Heading1"/>
      </w:pPr>
      <w:r>
        <w:t>五、合规红线（双视角必读）</w:t>
      </w:r>
    </w:p>
    <w:p>
      <w:pPr>
        <w:pStyle w:val="ListBullet"/>
      </w:pPr>
      <w:r>
        <w:t>功效宣称须有依据：防晒、美白、抗皱属功效宣称，须完成备案并提交人体功效评价报告；欧盟 EC1223/2009 要求临床数据达统计学显著差异(p&lt;0.05)，FDA 21 CFR Part 58 建议样本量≥30 人。</w:t>
      </w:r>
    </w:p>
    <w:p>
      <w:pPr>
        <w:pStyle w:val="ListBullet"/>
      </w:pPr>
      <w:r>
        <w:t>防晒指数标注需实测：SPF 按 ISO 24444、PFA/PA 按 JCIA 等方法人体测试；「广谱」一般要求临界波长 λc≥370nm，不得虚标。</w:t>
      </w:r>
    </w:p>
    <w:p>
      <w:pPr>
        <w:pStyle w:val="ListBullet"/>
      </w:pPr>
      <w:r>
        <w:t>限用与禁用：377(苯乙基间苯二酚)国内上限 0.5%；视黄醇等维 A 类须遵循《化妆品安全技术规范》限用浓度；不得超量。</w:t>
      </w:r>
    </w:p>
    <w:p>
      <w:pPr>
        <w:pStyle w:val="ListBullet"/>
      </w:pPr>
      <w:r>
        <w:t>宣称边界：不得宣称医疗作用（如「治疗光老化」「防癌」「替代医美」），不得暗示产品可治愈皮肤病；「抗老」应定位护肤改善而非医疗。</w:t>
      </w:r>
    </w:p>
    <w:p>
      <w:pPr>
        <w:pStyle w:val="ListBullet"/>
      </w:pPr>
      <w:r>
        <w:t>原料合规：重组胶原蛋白等须符合 YY/T 10001-2026 等行业标准要求，避免「概念添加」。</w:t>
      </w:r>
    </w:p>
    <w:p>
      <w:pPr>
        <w:pStyle w:val="Heading1"/>
      </w:pPr>
      <w:r>
        <w:t>六、行动清单（今日可落地）</w:t>
      </w:r>
    </w:p>
    <w:p>
      <w:pPr>
        <w:pStyle w:val="ListBullet"/>
      </w:pPr>
      <w:r>
        <w:t>工程师：建立「光保护矩阵」配方模板（防晒+抗氧+修护+胶原支持四段），用 3D 重建皮肤模型做 MMP-1 抑制与胶原表达的体外初筛（省成本）。</w:t>
      </w:r>
    </w:p>
    <w:p>
      <w:pPr>
        <w:pStyle w:val="ListBullet"/>
      </w:pPr>
      <w:r>
        <w:t>工程师：验证包裹视黄醇/原型 VC 的光稳定性与 pH 窗口，跑 DPPH/ABTS 自由基清除与胶原酶抑制试验留档。</w:t>
      </w:r>
    </w:p>
    <w:p>
      <w:pPr>
        <w:pStyle w:val="ListBullet"/>
      </w:pPr>
      <w:r>
        <w:t>产品经理：做「光老化≠晒黑，是胶原被 MMP 降解」的科普内容，锚定 20–29 岁预防性抗老人群。</w:t>
      </w:r>
    </w:p>
    <w:p>
      <w:pPr>
        <w:pStyle w:val="ListBullet"/>
      </w:pPr>
      <w:r>
        <w:t>产品经理：主推「依克多因+麦角硫因+视黄醇」温和抗老复合线，并提前布局「热防护」概念内容。</w:t>
      </w:r>
    </w:p>
    <w:p>
      <w:pPr>
        <w:pStyle w:val="ListBullet"/>
      </w:pPr>
      <w:r>
        <w:t>双视角：所有抗皱/防晒宣称预留人体功效评价预算与时间表，避免上市前合规断档。</w:t>
      </w:r>
    </w:p>
    <w:p>
      <w:r>
        <w:t>参考来源：</w:t>
      </w:r>
    </w:p>
    <w:p>
      <w:pPr>
        <w:pStyle w:val="ListBullet"/>
      </w:pPr>
      <w:r>
        <w:t>综述：皮肤光老化的关键靶点与通路研究综述（生物通，2025） — https://news.ebiotrade.com/2025-7/20250708235643904.htm</w:t>
      </w:r>
    </w:p>
    <w:p>
      <w:pPr>
        <w:pStyle w:val="ListBullet"/>
      </w:pPr>
      <w:r>
        <w:t>Photoaging: molecular mechanisms, clinical impact, and treatment strategies（Dialnet 综述, 2025） — https://dialnet.unirioja.es/servlet/articulo?codigo=10693919&amp;info=resumen</w:t>
      </w:r>
    </w:p>
    <w:p>
      <w:pPr>
        <w:pStyle w:val="ListBullet"/>
      </w:pPr>
      <w:r>
        <w:t>Hydrogel-Based Therapies for Photoaging（J Cosmetic Dermatol, 2025, DOI:10.1111/jocd.70295） — https://uat.ovid.com/00134454-202506000-00040</w:t>
      </w:r>
    </w:p>
    <w:p>
      <w:pPr>
        <w:pStyle w:val="ListBullet"/>
      </w:pPr>
      <w:r>
        <w:t>2026上半年护肤成分趋势总结（微信，含东方证券618复盘/YYT10001-2026） — http://mp.weixin.qq.com/s?__biz=MzI1MzU4NTUwMQ==&amp;mid=2247485228&amp;idx=1&amp;sn=e76fc6e4dd3a3ebeea22219ece7be4aa&amp;chksm=e8e5fd611998051612a995c6b655c4e92820b94e4d5655ff67cba39cd295e3c0db31f5f9e16d#rd</w:t>
      </w:r>
    </w:p>
    <w:p>
      <w:pPr>
        <w:pStyle w:val="ListBullet"/>
      </w:pPr>
      <w:r>
        <w:t>英敏特《2026 中国美容个护成分趋势榜单》（大数跨境） — https://www.10100.com/article/124115526</w:t>
      </w:r>
    </w:p>
    <w:p>
      <w:pPr>
        <w:pStyle w:val="ListBullet"/>
      </w:pPr>
      <w:r>
        <w:t>化妆品抗光老化试验（中析研究所） — https://www.bjjcyjs.com/showinfo-1-3384-0.html</w:t>
      </w:r>
    </w:p>
    <w:p>
      <w:pPr>
        <w:pStyle w:val="ListBullet"/>
      </w:pPr>
      <w:r>
        <w:t>防晒产品功效评价：SPF/PA/临界波长/防水（中析研究所） — https://www.bjjcyjs.com/showinfo-1-2833-0.html</w:t>
      </w:r>
    </w:p>
    <w:p>
      <w:pPr>
        <w:pStyle w:val="ListBullet"/>
      </w:pPr>
      <w:r>
        <w:t>Anti-Aging Cream Market in China 2026（Cosmetics China Agency） — https://cosmeticschinaagency.com/anti-aging-cream-market-china-stay-young-forever</w:t>
      </w:r>
    </w:p>
    <w:p>
      <w:pPr>
        <w:pStyle w:val="ListBullet"/>
      </w:pPr>
      <w:r>
        <w:t xml:space="preserve">董银卯《化妆品配方设计6步》 — </w:t>
      </w:r>
    </w:p>
    <w:p>
      <w:pPr>
        <w:pStyle w:val="ListBullet"/>
      </w:pPr>
      <w:r>
        <w:t xml:space="preserve">刘玮《皮肤科学与化妆品功效评价》 — </w:t>
      </w:r>
    </w:p>
    <w:p>
      <w:pPr>
        <w:pStyle w:val="ListBullet"/>
      </w:pPr>
      <w:r>
        <w:t xml:space="preserve">Zoe Diana Draelos《Cosmeceuticals》 — </w:t>
      </w:r>
    </w:p>
    <w:p>
      <w:pPr>
        <w:pStyle w:val="ListBullet"/>
      </w:pPr>
      <w:r>
        <w:t xml:space="preserve">André O. Barel et al.《Handbook of Cosmetic Science and Technology》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