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化妆品原料创新趋势：从「加成分」到「造信号」</w:t>
      </w:r>
    </w:p>
    <w:p>
      <w:r>
        <w:rPr>
          <w:i/>
        </w:rPr>
        <w:t>肽 · 发酵 · 植物外泌体 · 重组胶原——四大生物制造前沿的机制、落地与宣称边界</w:t>
      </w:r>
    </w:p>
    <w:p>
      <w:r>
        <w:t>日期：2026-10-26　第 15/15 期　主题：原料创新趋势（肽/发酵/植物外泌体/重组胶原）</w:t>
      </w:r>
    </w:p>
    <w:p>
      <w:r>
        <w:rPr>
          <w:b/>
        </w:rPr>
        <w:t xml:space="preserve">一句话结论（双视角）: </w:t>
      </w:r>
      <w:r>
        <w:t>工程师视角：2026 原料竞争的胜负手不是「堆量」而是「序列设计 + 表达体系 + 递送系统 + 临床证据」的全链路能力；肽靠信号堆叠、胶原靠重组表达、外泌体靠递送信号、发酵靠微生态稳态。产品经理视角：消费者已从「知道胶原」升级到「认型别、认来源、认临床」，卖点要从成分故事切到「机制可信 + 证据可查 + 宣称合规」。</w:t>
      </w:r>
    </w:p>
    <w:p>
      <w:pPr>
        <w:pStyle w:val="Heading1"/>
      </w:pPr>
      <w:r>
        <w:t>一、机理：四大前沿背后是同一套「细胞对话」逻辑</w:t>
      </w:r>
    </w:p>
    <w:p>
      <w:r>
        <w:t>多肽、发酵物、植物外泌体、重组胶原看似分属不同赛道，底层却都在用「生物信号」与皮肤细胞对话：肽是短链氨基酸序列，作为「信使」模拟或调节细胞信号；发酵/后生元是微生物代谢产物的「稳态调节剂」；植物外泌体（PENs，30–500 nm 纳米囊泡）本身即是「载信息的脂质囊泡」，携带 miRNA、蛋白、多酚跨屏障递送；重组胶原则是用酵母/大肠杆菌「细胞工厂」直接量产人体同源结构蛋白。2026 in-cosmetics Global 的共识是「校准而非叠加」——功效不再比谁加得多，而比谁作用得准、准在哪一层。</w:t>
      </w:r>
    </w:p>
    <w:p>
      <w:pPr>
        <w:pStyle w:val="ListBullet"/>
      </w:pPr>
      <w:r>
        <w:t>信号层：多肽（信号肽/神经递质抑制肽/载体肽/酶抑制肽）向成纤维细胞或神经肌肉接头发信号，刺激胶原或放松动态纹。</w:t>
      </w:r>
    </w:p>
    <w:p>
      <w:pPr>
        <w:pStyle w:val="ListBullet"/>
      </w:pPr>
      <w:r>
        <w:t>补给层：重组人源化胶原（毕赤酵母表达 III 型可保留部分羟基化三螺旋）直接补充真皮 ECM 结构蛋白。</w:t>
      </w:r>
    </w:p>
    <w:p>
      <w:pPr>
        <w:pStyle w:val="ListBullet"/>
      </w:pPr>
      <w:r>
        <w:t>通讯层：植物外泌体样纳米囊泡（PENs）作为天然载体，携 miRNA/黄酮/多酚穿透角质层、调控抗炎与胶原代谢通路（如薰衣草 LELNs 的 miR166、柠檬外泌体的 AhR/Nrf2 通路）。</w:t>
      </w:r>
    </w:p>
    <w:p>
      <w:pPr>
        <w:pStyle w:val="ListBullet"/>
      </w:pPr>
      <w:r>
        <w:t>微生态层：Bifida/Galactomyces/乳酸杆菌发酵溶胞物（后生元）比活菌更稳定，修复屏障、平衡菌群、降低 TEWL。</w:t>
      </w:r>
    </w:p>
    <w:p>
      <w:pPr>
        <w:pStyle w:val="Heading1"/>
      </w:pPr>
      <w:r>
        <w:t>二、前沿证据：哪些有数据、哪些还在故事期</w:t>
      </w:r>
    </w:p>
    <w:p>
      <w:r>
        <w:t>证据深度严重不均。肽类是「最厚」的一类：GHK-Cu 有 50+ 年研究、Matrixyl 20+、Signaline 15+，机理与人体试验均成熟（2025 多肽荟萃分析纳入 16 项 RCT，皱纹深度显著改善）。重组胶原在中国已进入「标准红利」期——YY/T 1849-2022《重组胶原蛋白》、YY/T 1888-2023《重组人源化胶原蛋白》落地，2026 药监局又发布 YY/T 0954—2026 将重组 I 型胶原注射剂纳入三类械，中国牵头的两项 ISO 国际标准获批立项。植物外泌体势头最猛但证据最薄：《2025 植物外泌体抗衰老技术白皮书》指出尚无统一「来源-提取-表征-储存」标准、批次活性波动大、长期人体安全性数据不足，监管定位模糊。发酵后生元证据中等、产业最稳。</w:t>
      </w:r>
    </w:p>
    <w:p>
      <w:r>
        <w:rPr>
          <w:b/>
        </w:rPr>
        <w:t xml:space="preserve">产品经理视角 · 证据分级话术: </w:t>
      </w:r>
      <w:r>
        <w:t>厚证据（可讲临床）：信号肽、蓝铜肽、重组胶原（械字号）、Bifida 发酵。薄证据（只讲机制/体外，禁讲功效承诺）：植物外泌体、PDRN、部分 Senolytic 肽（OS-01 等人体数据仍少）。把「搜索热度」和「临床数据」分开讲，是 2026 最核心的合规与信任分水岭。</w:t>
      </w:r>
    </w:p>
    <w:p>
      <w:pPr>
        <w:pStyle w:val="Heading1"/>
      </w:pPr>
      <w:r>
        <w:t>三、配方落地：靶点→原料→添加量→配伍/稳定（工程师表）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靶点/通路</w:t>
            </w:r>
          </w:p>
        </w:tc>
        <w:tc>
          <w:tcPr>
            <w:tcW w:type="dxa" w:w="2160"/>
          </w:tcPr>
          <w:p>
            <w:r>
              <w:t>代表原料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真皮成纤维细胞 TGF-β 信号（胶原合成）</w:t>
            </w:r>
          </w:p>
        </w:tc>
        <w:tc>
          <w:tcPr>
            <w:tcW w:type="dxa" w:w="2160"/>
          </w:tcPr>
          <w:p>
            <w:r>
              <w:t>信号肽：棕榈酰五肽-4（Matrixyl 3000）、三肽-1/五肽-3</w:t>
            </w:r>
          </w:p>
        </w:tc>
        <w:tc>
          <w:tcPr>
            <w:tcW w:type="dxa" w:w="2160"/>
          </w:tcPr>
          <w:p>
            <w:r>
              <w:t>复合物 3–7%（肽原液按活性折算，终产品肽段 mg 级）</w:t>
            </w:r>
          </w:p>
        </w:tc>
        <w:tc>
          <w:tcPr>
            <w:tcW w:type="dxa" w:w="2160"/>
          </w:tcPr>
          <w:p>
            <w:r>
              <w:t>与烟酰胺/玻尿酸/VA 友好；pH 5.5–7.0；避免强酸 AHA 同段以防肽变性</w:t>
            </w:r>
          </w:p>
        </w:tc>
      </w:tr>
      <w:tr>
        <w:tc>
          <w:tcPr>
            <w:tcW w:type="dxa" w:w="2160"/>
          </w:tcPr>
          <w:p>
            <w:r>
              <w:t>神经肌肉接头 SNARE 复合体（动态纹）</w:t>
            </w:r>
          </w:p>
        </w:tc>
        <w:tc>
          <w:tcPr>
            <w:tcW w:type="dxa" w:w="2160"/>
          </w:tcPr>
          <w:p>
            <w:r>
              <w:t>神经递质抑制肽：乙酰基六肽-8（Argireline）、SNAP-8</w:t>
            </w:r>
          </w:p>
        </w:tc>
        <w:tc>
          <w:tcPr>
            <w:tcW w:type="dxa" w:w="2160"/>
          </w:tcPr>
          <w:p>
            <w:r>
              <w:t>5–10%（原研究用 10% 溶液；市售多为 1–5%）</w:t>
            </w:r>
          </w:p>
        </w:tc>
        <w:tc>
          <w:tcPr>
            <w:tcW w:type="dxa" w:w="2160"/>
          </w:tcPr>
          <w:p>
            <w:r>
              <w:t>pH 5.0–6.5；温和不挑配伍；MW≈889 Da 远高于 500 Da 透皮阈值，需脂质体/促渗提渗透</w:t>
            </w:r>
          </w:p>
        </w:tc>
      </w:tr>
      <w:tr>
        <w:tc>
          <w:tcPr>
            <w:tcW w:type="dxa" w:w="2160"/>
          </w:tcPr>
          <w:p>
            <w:r>
              <w:t>胶原酶/MMP 抑制 + 铜依赖修复</w:t>
            </w:r>
          </w:p>
        </w:tc>
        <w:tc>
          <w:tcPr>
            <w:tcW w:type="dxa" w:w="2160"/>
          </w:tcPr>
          <w:p>
            <w:r>
              <w:t>蓝铜肽 GHK-Cu（铜三肽-1）</w:t>
            </w:r>
          </w:p>
        </w:tc>
        <w:tc>
          <w:tcPr>
            <w:tcW w:type="dxa" w:w="2160"/>
          </w:tcPr>
          <w:p>
            <w:r>
              <w:t>0.5–2%（研究 0.5–10%；市售多 0.5–2%）</w:t>
            </w:r>
          </w:p>
        </w:tc>
        <w:tc>
          <w:tcPr>
            <w:tcW w:type="dxa" w:w="2160"/>
          </w:tcPr>
          <w:p>
            <w:r>
              <w:t>忌与高浓度 VC、强 AHA 同段（铜氧化 VC、双失活）；pH≈5.5–6.5；避光</w:t>
            </w:r>
          </w:p>
        </w:tc>
      </w:tr>
      <w:tr>
        <w:tc>
          <w:tcPr>
            <w:tcW w:type="dxa" w:w="2160"/>
          </w:tcPr>
          <w:p>
            <w:r>
              <w:t>真皮 ECM 直接补给（I/III 型胶原）</w:t>
            </w:r>
          </w:p>
        </w:tc>
        <w:tc>
          <w:tcPr>
            <w:tcW w:type="dxa" w:w="2160"/>
          </w:tcPr>
          <w:p>
            <w:r>
              <w:t>重组人源化胶原：毕赤酵母表达 III 型 / 大肠杆菌功能片段</w:t>
            </w:r>
          </w:p>
        </w:tc>
        <w:tc>
          <w:tcPr>
            <w:tcW w:type="dxa" w:w="2160"/>
          </w:tcPr>
          <w:p>
            <w:r>
              <w:t>妆品 0.1–2%（依分子量/活性物规格；械字号另走法规）</w:t>
            </w:r>
          </w:p>
        </w:tc>
        <w:tc>
          <w:tcPr>
            <w:tcW w:type="dxa" w:w="2160"/>
          </w:tcPr>
          <w:p>
            <w:r>
              <w:t>配伍广、对 pH 不苛刻；避免高温长时间（蛋白变性）；与透明质酸「补水+支撑」互补</w:t>
            </w:r>
          </w:p>
        </w:tc>
      </w:tr>
      <w:tr>
        <w:tc>
          <w:tcPr>
            <w:tcW w:type="dxa" w:w="2160"/>
          </w:tcPr>
          <w:p>
            <w:r>
              <w:t>细胞间信号 / 跨屏障递送</w:t>
            </w:r>
          </w:p>
        </w:tc>
        <w:tc>
          <w:tcPr>
            <w:tcW w:type="dxa" w:w="2160"/>
          </w:tcPr>
          <w:p>
            <w:r>
              <w:t>植物外泌体样纳米囊泡 PENs（积雪草/柠檬/薰衣草）</w:t>
            </w:r>
          </w:p>
        </w:tc>
        <w:tc>
          <w:tcPr>
            <w:tcW w:type="dxa" w:w="2160"/>
          </w:tcPr>
          <w:p>
            <w:r>
              <w:t>0.5–2% 含 EV 提取物（尚无活性单位标准）</w:t>
            </w:r>
          </w:p>
        </w:tc>
        <w:tc>
          <w:tcPr>
            <w:tcW w:type="dxa" w:w="2160"/>
          </w:tcPr>
          <w:p>
            <w:r>
              <w:t>低温储存；稳定性靠冻干/包封；宣称须谨慎（法规定位模糊）</w:t>
            </w:r>
          </w:p>
        </w:tc>
      </w:tr>
      <w:tr>
        <w:tc>
          <w:tcPr>
            <w:tcW w:type="dxa" w:w="2160"/>
          </w:tcPr>
          <w:p>
            <w:r>
              <w:t>皮肤微生态 / 屏障稳态</w:t>
            </w:r>
          </w:p>
        </w:tc>
        <w:tc>
          <w:tcPr>
            <w:tcW w:type="dxa" w:w="2160"/>
          </w:tcPr>
          <w:p>
            <w:r>
              <w:t>后生元：Bifida ferment lysate、Galactomyces、乳酸杆菌发酵溶胞物</w:t>
            </w:r>
          </w:p>
        </w:tc>
        <w:tc>
          <w:tcPr>
            <w:tcW w:type="dxa" w:w="2160"/>
          </w:tcPr>
          <w:p>
            <w:r>
              <w:t>2–10%（依发酵液浓度）</w:t>
            </w:r>
          </w:p>
        </w:tc>
        <w:tc>
          <w:tcPr>
            <w:tcW w:type="dxa" w:w="2160"/>
          </w:tcPr>
          <w:p>
            <w:r>
              <w:t>与多元醇/有机酸（对羟基苯乙酮+戊二醇）防腐体系协同；偏酸 pH 友好；发酵滤液批次波动需内控</w:t>
            </w:r>
          </w:p>
        </w:tc>
      </w:tr>
    </w:tbl>
    <w:p>
      <w:pPr>
        <w:pStyle w:val="ListBullet"/>
      </w:pPr>
      <w:r>
        <w:t>递送是共性瓶颈：肽、蛋白、外泌体都怕热、怕水解、怕氧化——磷脂脂质体（向日葵卵磷脂来源）、亚微米脂质载体、聚合物纳米海绵可护活并控释，让「不提量也能提效」。</w:t>
      </w:r>
    </w:p>
    <w:p>
      <w:pPr>
        <w:pStyle w:val="ListBullet"/>
      </w:pPr>
      <w:r>
        <w:t>稳定化三件套：避高温（活性物后段降温加入）、防氧化（充氮/抗氧化+螯合剂如植酸钠）、自防腐（戊二醇+对茴香酸协同）以替换 paraben/苯氧乙醇。</w:t>
      </w:r>
    </w:p>
    <w:p>
      <w:pPr>
        <w:pStyle w:val="ListBullet"/>
      </w:pPr>
      <w:r>
        <w:t>配伍红线：GHK-Cu 与高浓度 VC/强 AHA 分开步骤；肽段避免与极低 pH 体系同罐共热。</w:t>
      </w:r>
    </w:p>
    <w:p>
      <w:pPr>
        <w:pStyle w:val="Heading1"/>
      </w:pPr>
      <w:r>
        <w:t>四、市场沟通：把「生物制造」翻译成消费者语言</w:t>
      </w:r>
    </w:p>
    <w:p>
      <w:r>
        <w:t>行业正从「营销声量」转向「证+型+床」（注册证、胶原蛋白型别、临床证据）。重组胶原市场 2025 年约 338 亿元、CAGR≈45%，增速是透明质酸的 3 倍以上，但「认型别、认来源、认临床」已成消费共识——可复美（品牌+渠道）、薇旖美/锦波（III 型三螺旋+三类械）是两种商业逻辑的样本。对产品经理的启发：① 用「型别+来源」替代空泛的「胶原」叙事（如「重组 III 型人源化胶原，毕赤酵母表达」）；② 用「机制图」替代「成分堆砌」降低认知负荷；③ 多肽讲「信号肽补胶原、神经肽松动态纹」的分层逻辑，而非「一瓶全效」。</w:t>
      </w:r>
    </w:p>
    <w:p>
      <w:r>
        <w:rPr>
          <w:b/>
        </w:rPr>
        <w:t xml:space="preserve">双视角 · 一句话落地: </w:t>
      </w:r>
      <w:r>
        <w:t>工程师：先把递送系统定下来，再选原料——同样的肽，有脂质体包裹就能降量提效、稳货架。产品经理：先把「证据厚度」分级，再定宣称——厚证据讲临床、薄证据讲机制，绝不让搜索热度冒充临床数据。</w:t>
      </w:r>
    </w:p>
    <w:p>
      <w:pPr>
        <w:pStyle w:val="Heading1"/>
      </w:pPr>
      <w:r>
        <w:t>五、合规红线：四类原料各自的雷区</w:t>
      </w:r>
    </w:p>
    <w:p>
      <w:pPr>
        <w:pStyle w:val="ListBullet"/>
      </w:pPr>
      <w:r>
        <w:t>肽类：妆字号不得宣称医疗功效；「类肉毒/涂抹式肉毒」属夸大（Argireline 约 30% 纹深改善，远不及注射肉毒）；概念添加（&lt;0.1% 可不降序标注）需警惕，看成分表排序辨真假添加。</w:t>
      </w:r>
    </w:p>
    <w:p>
      <w:pPr>
        <w:pStyle w:val="ListBullet"/>
      </w:pPr>
      <w:r>
        <w:t>重组胶原：妆品与械品严格分轨；妆字号乱讲「填充/再生/注射」功效红利期已结束；型别、表达体系、是否人源化须真实标注，不得虚假「同源 100%」话术。</w:t>
      </w:r>
    </w:p>
    <w:p>
      <w:pPr>
        <w:pStyle w:val="ListBullet"/>
      </w:pPr>
      <w:r>
        <w:t>植物外泌体：监管定位模糊（部分国家归生物制品/器械），国内妆品暂无专门分类；禁止「干细胞/胚胎/治疗」等医疗化宣称，须做安全评估与稳定性批次质控。</w:t>
      </w:r>
    </w:p>
    <w:p>
      <w:pPr>
        <w:pStyle w:val="ListBullet"/>
      </w:pPr>
      <w:r>
        <w:t>发酵物：发酵滤液属「教法允许」原料但批次波动大，需建立内控标准（pH、菌落、特征标志物）；不得宣称「活菌定植/治病」。</w:t>
      </w:r>
    </w:p>
    <w:p>
      <w:pPr>
        <w:pStyle w:val="Heading1"/>
      </w:pPr>
      <w:r>
        <w:t>六、行动清单（本期可带走）</w:t>
      </w:r>
    </w:p>
    <w:p>
      <w:pPr>
        <w:pStyle w:val="ListBullet"/>
      </w:pPr>
      <w:r>
        <w:t>工程师：新抗老配方先锁递送系统（脂质体/纳米载体），信号肽 3–7%、神经肽 5–10%、GHK-Cu 0.5–2%，并做「肽×VC×AHA」配伍与 3 月加速稳定性验证。</w:t>
      </w:r>
    </w:p>
    <w:p>
      <w:pPr>
        <w:pStyle w:val="ListBullet"/>
      </w:pPr>
      <w:r>
        <w:t>工程师：引入重组胶原时确认表达体系（大肠杆菌片段 vs 毕赤酵母三螺旋）与型别，配合透明质酸做「补水+支撑」双相；外泌体原料索要粒径分布/标志物/批次 COA。</w:t>
      </w:r>
    </w:p>
    <w:p>
      <w:pPr>
        <w:pStyle w:val="ListBullet"/>
      </w:pPr>
      <w:r>
        <w:t>产品经理：建立「证据分级表」，厚证据上临床数据、薄证据只讲机制，统一禁用「类肉毒/干细胞/治疗」等词。</w:t>
      </w:r>
    </w:p>
    <w:p>
      <w:pPr>
        <w:pStyle w:val="ListBullet"/>
      </w:pPr>
      <w:r>
        <w:t>产品经理：把卖点从「加了 XX」改写为「认型别·认来源·认临床」的可信叙事，并准备监管应对口径。</w:t>
      </w:r>
    </w:p>
    <w:p>
      <w:pPr>
        <w:pStyle w:val="ListBullet"/>
      </w:pPr>
      <w:r>
        <w:t>团队：跟踪 YY/T 0954/1849/1888/1947 与即将落地的外泌体标准，把合规前置到立项而非备案。</w:t>
      </w:r>
    </w:p>
    <w:p>
      <w:r>
        <w:t>参考来源：</w:t>
      </w:r>
    </w:p>
    <w:p>
      <w:pPr>
        <w:pStyle w:val="ListBullet"/>
      </w:pPr>
      <w:r>
        <w:t>四川省药品技术检查中心《揭秘化妆品网红原料「肽类」》 — https://www.scsjczx.cn/ztzl/hzpzl/20250317111216101.html</w:t>
      </w:r>
    </w:p>
    <w:p>
      <w:pPr>
        <w:pStyle w:val="ListBullet"/>
      </w:pPr>
      <w:r>
        <w:t>RethinkPeptides, Neurotransmitter-Inhibiting Peptides for Wrinkles（Argireline/SNAP-8/GHK-Cu 与浓度） — https://rethinkpeptides.com/articles/neurotransmitter-inhibiting-peptides-how-they-relax-facial-muscles</w:t>
      </w:r>
    </w:p>
    <w:p>
      <w:pPr>
        <w:pStyle w:val="ListBullet"/>
      </w:pPr>
      <w:r>
        <w:t>Lihak, Anti-Aging Peptides in Cosmetics: Mechanisms and Applications — https://lihak.com/archives/13627</w:t>
      </w:r>
    </w:p>
    <w:p>
      <w:pPr>
        <w:pStyle w:val="ListBullet"/>
      </w:pPr>
      <w:r>
        <w:t>K-Brand Cosmetics, Peptides — not all of them work（证据分级与添加量） — https://kbrandcosmetics.com?p=53/</w:t>
      </w:r>
    </w:p>
    <w:p>
      <w:pPr>
        <w:pStyle w:val="ListBullet"/>
      </w:pPr>
      <w:r>
        <w:t>中研网《2026-2030年胶原蛋白行业发展现状、趋势演变及战略对策》 — https://big5.chinairn.com/hyzx/20260907/161054211.shtml</w:t>
      </w:r>
    </w:p>
    <w:p>
      <w:pPr>
        <w:pStyle w:val="ListBullet"/>
      </w:pPr>
      <w:r>
        <w:t>医药魔方《中国重组胶原蛋白产业发展全景报告(2026)》 — https://www.pharmcube.com/newsLibrary/detail?id=a71a150bdf9cb434fad57f17541eb431</w:t>
      </w:r>
    </w:p>
    <w:p>
      <w:pPr>
        <w:pStyle w:val="ListBullet"/>
      </w:pPr>
      <w:r>
        <w:t>上海医药《细胞外囊泡在皮肤健康中的应用及微针协同递送展望》 — https://manu55.magtech.com.cn/shyy/CN/Y2025/V46/IS1/22</w:t>
      </w:r>
    </w:p>
    <w:p>
      <w:pPr>
        <w:pStyle w:val="ListBullet"/>
      </w:pPr>
      <w:r>
        <w:t>国妆科创《植物外泌体：抗衰老领域的「生物信使」》 — http://www.cciur.ac.cn/newsDetail/25765/208</w:t>
      </w:r>
    </w:p>
    <w:p>
      <w:pPr>
        <w:pStyle w:val="ListBullet"/>
      </w:pPr>
      <w:r>
        <w:t>中国化妆品产学研协同创新平台《2025植物外泌体抗衰老技术白皮书》介绍 — http://mp.weixin.qq.com/s?__biz=MzI3NjkyNDMzMw==&amp;mid=2247491611&amp;idx=1&amp;sn=44f29afc609691a3f7fade6211c7c27c&amp;chksm=eae7e48f8cba762cca504e85e28e7104b223c8faab639d3f54844e7ba4bbd93d2fa7b3503075#rd</w:t>
      </w:r>
    </w:p>
    <w:p>
      <w:pPr>
        <w:pStyle w:val="ListBullet"/>
      </w:pPr>
      <w:r>
        <w:t>Gravel AI, Biotech Skincare Trends 2026 — Exosomes, Recombinant Proteins, Stem Cells — https://gravelai.com/blog/biotech-skincare-trends-2026</w:t>
      </w:r>
    </w:p>
    <w:p>
      <w:pPr>
        <w:pStyle w:val="ListBullet"/>
      </w:pPr>
      <w:r>
        <w:t>Tetrapod, The Peptide Era of Topical Anti-Aging: From Star Ingredient to Mechanism Stack — https://www.tetrapod.beauty/en/editorial/peptide-era-mechanism-stack-2026/en</w:t>
      </w:r>
    </w:p>
    <w:p>
      <w:pPr>
        <w:pStyle w:val="ListBullet"/>
      </w:pPr>
      <w:r>
        <w:t>来侃生物制造《重组胶原蛋白——巨子与锦波的「双王」之争》 — http://mp.weixin.qq.com/s?__biz=MzY5NTM5NTgyMg==&amp;mid=2247483726&amp;idx=1&amp;sn=f5e1dc99cbcdc7413155c7de2710ba6f&amp;chksm=f58f583242771395e5b7a19e099e6075e7f7e3573cd0b97efc008f127297009f65f90ae1ff7b#rd</w:t>
      </w:r>
    </w:p>
    <w:p>
      <w:pPr>
        <w:pStyle w:val="ListBullet"/>
      </w:pPr>
      <w:r>
        <w:t xml:space="preserve">董银卯《化妆品配方设计6步》 — </w:t>
      </w:r>
    </w:p>
    <w:p>
      <w:pPr>
        <w:pStyle w:val="ListBullet"/>
      </w:pPr>
      <w:r>
        <w:t xml:space="preserve">刘玮《皮肤科学与化妆品功效评价》 — </w:t>
      </w:r>
    </w:p>
    <w:p>
      <w:pPr>
        <w:pStyle w:val="ListBullet"/>
      </w:pPr>
      <w:r>
        <w:t xml:space="preserve">Elsner &amp; Maibach, Cosmeceuticals — </w:t>
      </w:r>
    </w:p>
    <w:p>
      <w:pPr>
        <w:pStyle w:val="ListBullet"/>
      </w:pPr>
      <w:r>
        <w:t xml:space="preserve">Barel et al., Handbook of Cosmetic Science and Technology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