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医美术后修护的科学：从屏障"休克"到整全护肤</w:t>
      </w:r>
    </w:p>
    <w:p>
      <w:r>
        <w:rPr>
          <w:i/>
        </w:rPr>
        <w:t>机制 → 原料 → 配方 → 市场 → 合规，一套工程师×产品经理双视角作战手册（第 2/15 期）</w:t>
      </w:r>
    </w:p>
    <w:p>
      <w:r>
        <w:t>日期：2026-10-28　第 2/15 期　主题：医术后修护</w:t>
      </w:r>
    </w:p>
    <w:p>
      <w:r>
        <w:rPr>
          <w:b/>
        </w:rPr>
        <w:t xml:space="preserve">一句话结论（双视角）: </w:t>
      </w:r>
      <w:r>
        <w:t>工程师视角：术后皮肤本质是"屏障休克"——TEWL飙升、炎症因子（TNF-α/IL-6）爆发，修护配方要按"即刻降温→早期抗炎→中期屏障重建→晚期维稳"分阶段供给脂质（神经酰胺）、保湿（透明质酸）、抗炎（积雪草苷/泛醇/红没药醇）。产品经理视角：赛道正在从"械字号面膜"的违规噱头，转向"妆械联合+整全护肤"的合规刚需，2026年医用敷料市场规模预计253.8亿元，CAGR≈30%，但宣传红线（不得宣称疗效、不得称"药妆"）比成分更决定生死。</w:t>
      </w:r>
    </w:p>
    <w:p>
      <w:pPr>
        <w:pStyle w:val="Heading1"/>
      </w:pPr>
      <w:r>
        <w:t>一、机理：为什么术后皮肤会"休克"</w:t>
      </w:r>
    </w:p>
    <w:p>
      <w:r>
        <w:t>激光、射频、微针、剥脱/非剥脱点阵等轻医美，本质是用热损伤或机械微损伤"先破后立"，诱导胶原重塑。代价是术后皮肤屏障短期被打开：角质层结构破坏→经皮水分丢失（TEWL）显著升高→皮肤干绷、泛红、灼热；同时热损伤激活炎症级联，TNF-α、IL-6、IL-1β 等炎症因子释放，血管扩张加重红斑，并刺激黑素细胞诱发炎症后色素沉着（PIH，俗称"反黑"）。</w:t>
      </w:r>
    </w:p>
    <w:p>
      <w:pPr>
        <w:pStyle w:val="ListBullet"/>
      </w:pPr>
      <w:r>
        <w:t>屏障受损：角质层脂质（尤其神经酰胺）含量骤降，细胞间"砖墙"缝隙变大，锁水能力断崖式下跌。</w:t>
      </w:r>
    </w:p>
    <w:p>
      <w:pPr>
        <w:pStyle w:val="ListBullet"/>
      </w:pPr>
      <w:r>
        <w:t>炎症窗口：术后0–7天是炎症期+增生期，皮肤状态基本等同"开放性创面/敏感肌"，应比照敏感肌逻辑精简护肤。</w:t>
      </w:r>
    </w:p>
    <w:p>
      <w:pPr>
        <w:pStyle w:val="ListBullet"/>
      </w:pPr>
      <w:r>
        <w:t>四阶段护理（谈益妹等专家框架）：术后即刻控炎降温 → 术后早期抗炎保湿 → 术后中期屏障重建 → 术后晚期维稳防反黑。</w:t>
      </w:r>
    </w:p>
    <w:p>
      <w:pPr>
        <w:pStyle w:val="ListBullet"/>
      </w:pPr>
      <w:r>
        <w:t>紫外线放大伤害：术后皮肤对UV极度敏感，PIH风险是平时的数倍，物理防晒（氧化锌/二氧化钛）为首选。</w:t>
      </w:r>
    </w:p>
    <w:p>
      <w:pPr>
        <w:pStyle w:val="Heading1"/>
      </w:pPr>
      <w:r>
        <w:t>二、前沿证据：被RCT验证的修护成分</w:t>
      </w:r>
    </w:p>
    <w:p>
      <w:r>
        <w:t>该领域已有高质量随机对照试验（RCT）背书，而非仅停留在"据说有效"。关键证据：① 标准化积雪草提取物（ECa 233，含积雪草苷+羟基积雪草苷）半脸对照 Er:YAG 激光术后，试验侧红斑较安慰剂更早消退（约第7天 vs 第28天），医师评估的红斑、结痂、创面外观在D2/D4/D7均显著更优（PMID: 32310680）。② 含泛醇+积雪草苷（madecassoside）+红没药醇的面膜，用于1550/1927nm非剥脱点阵激光术后（n=60，双盲RCT），D3/D7/D14 红斑指数、色素指数、TEWL 显著低于盐水对照组，角质层含水量更高（PMID: 40613435 / PMCID: PMC12232337，J Cosmet Dermatol 2025）。③ 含神经酰胺-2的敷料用于激光创面，TEWL仅46.22 g/m²h，对照66.58 g/m²h（Adv Skin Wound Care 2013）。④ 含积雪草萃取+神经酰胺NP+泛醇的配方，2周敏感症状降66%、4周降76%（J Cosmetic Dermatology 2025）。</w:t>
      </w:r>
    </w:p>
    <w:p>
      <w:pPr>
        <w:pStyle w:val="Heading1"/>
      </w:pPr>
      <w:r>
        <w:t>三、配方落地（工程师视角）：靶点 → 原料 → 添加量 → 配伍/稳定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靶点/问题</w:t>
            </w:r>
          </w:p>
        </w:tc>
        <w:tc>
          <w:tcPr>
            <w:tcW w:type="dxa" w:w="2160"/>
          </w:tcPr>
          <w:p>
            <w:r>
              <w:t>首选原料</w:t>
            </w:r>
          </w:p>
        </w:tc>
        <w:tc>
          <w:tcPr>
            <w:tcW w:type="dxa" w:w="2160"/>
          </w:tcPr>
          <w:p>
            <w:r>
              <w:t>建议添加量</w:t>
            </w:r>
          </w:p>
        </w:tc>
        <w:tc>
          <w:tcPr>
            <w:tcW w:type="dxa" w:w="2160"/>
          </w:tcPr>
          <w:p>
            <w:r>
              <w:t>配伍 / pH / 稳定要点</w:t>
            </w:r>
          </w:p>
        </w:tc>
      </w:tr>
      <w:tr>
        <w:tc>
          <w:tcPr>
            <w:tcW w:type="dxa" w:w="2160"/>
          </w:tcPr>
          <w:p>
            <w:r>
              <w:t>屏障脂质缺失、TEWL升高</w:t>
            </w:r>
          </w:p>
        </w:tc>
        <w:tc>
          <w:tcPr>
            <w:tcW w:type="dxa" w:w="2160"/>
          </w:tcPr>
          <w:p>
            <w:r>
              <w:t>神经酰胺（NP/AP/EOP）复配胆固醇+脂肪酸</w:t>
            </w:r>
          </w:p>
        </w:tc>
        <w:tc>
          <w:tcPr>
            <w:tcW w:type="dxa" w:w="2160"/>
          </w:tcPr>
          <w:p>
            <w:r>
              <w:t>0.5–2%（三者按~3:1:1摩尔比复配更接近天然）</w:t>
            </w:r>
          </w:p>
        </w:tc>
        <w:tc>
          <w:tcPr>
            <w:tcW w:type="dxa" w:w="2160"/>
          </w:tcPr>
          <w:p>
            <w:r>
              <w:t>脂质体/纳米包裹提升渗透；忌与强酸同体系；常温下稳定、避免强氧化剂</w:t>
            </w:r>
          </w:p>
        </w:tc>
      </w:tr>
      <w:tr>
        <w:tc>
          <w:tcPr>
            <w:tcW w:type="dxa" w:w="2160"/>
          </w:tcPr>
          <w:p>
            <w:r>
              <w:t>经皮失水、干绷脱屑</w:t>
            </w:r>
          </w:p>
        </w:tc>
        <w:tc>
          <w:tcPr>
            <w:tcW w:type="dxa" w:w="2160"/>
          </w:tcPr>
          <w:p>
            <w:r>
              <w:t>透明质酸（大+小分子复配）</w:t>
            </w:r>
          </w:p>
        </w:tc>
        <w:tc>
          <w:tcPr>
            <w:tcW w:type="dxa" w:w="2160"/>
          </w:tcPr>
          <w:p>
            <w:r>
              <w:t>0.1–1%（不同分子量分层供能）</w:t>
            </w:r>
          </w:p>
        </w:tc>
        <w:tc>
          <w:tcPr>
            <w:tcW w:type="dxa" w:w="2160"/>
          </w:tcPr>
          <w:p>
            <w:r>
              <w:t>大分子表层锁水+小分子深层补水；怕阳离子、长时间高温；pH 5.5–7.0稳</w:t>
            </w:r>
          </w:p>
        </w:tc>
      </w:tr>
      <w:tr>
        <w:tc>
          <w:tcPr>
            <w:tcW w:type="dxa" w:w="2160"/>
          </w:tcPr>
          <w:p>
            <w:r>
              <w:t>炎症红斑、TNF-α/IL-6上调</w:t>
            </w:r>
          </w:p>
        </w:tc>
        <w:tc>
          <w:tcPr>
            <w:tcW w:type="dxa" w:w="2160"/>
          </w:tcPr>
          <w:p>
            <w:r>
              <w:t>积雪草苷/羟基积雪草苷（或标准化积雪草提取物）</w:t>
            </w:r>
          </w:p>
        </w:tc>
        <w:tc>
          <w:tcPr>
            <w:tcW w:type="dxa" w:w="2160"/>
          </w:tcPr>
          <w:p>
            <w:r>
              <w:t>0.1–1%（提取物计）</w:t>
            </w:r>
          </w:p>
        </w:tc>
        <w:tc>
          <w:tcPr>
            <w:tcW w:type="dxa" w:w="2160"/>
          </w:tcPr>
          <w:p>
            <w:r>
              <w:t>抑制炎症因子、促胶原；光热稳定好；与泛醇、红没药醇协同增效</w:t>
            </w:r>
          </w:p>
        </w:tc>
      </w:tr>
      <w:tr>
        <w:tc>
          <w:tcPr>
            <w:tcW w:type="dxa" w:w="2160"/>
          </w:tcPr>
          <w:p>
            <w:r>
              <w:t>表皮修复慢、屏障再生弱</w:t>
            </w:r>
          </w:p>
        </w:tc>
        <w:tc>
          <w:tcPr>
            <w:tcW w:type="dxa" w:w="2160"/>
          </w:tcPr>
          <w:p>
            <w:r>
              <w:t>泛醇（维生素B5前体）</w:t>
            </w:r>
          </w:p>
        </w:tc>
        <w:tc>
          <w:tcPr>
            <w:tcW w:type="dxa" w:w="2160"/>
          </w:tcPr>
          <w:p>
            <w:r>
              <w:t>1–5%</w:t>
            </w:r>
          </w:p>
        </w:tc>
        <w:tc>
          <w:tcPr>
            <w:tcW w:type="dxa" w:w="2160"/>
          </w:tcPr>
          <w:p>
            <w:r>
              <w:t>促表皮增生、水溶；pH 4–7稳定；与B5/B3衍生物兼容</w:t>
            </w:r>
          </w:p>
        </w:tc>
      </w:tr>
      <w:tr>
        <w:tc>
          <w:tcPr>
            <w:tcW w:type="dxa" w:w="2160"/>
          </w:tcPr>
          <w:p>
            <w:r>
              <w:t>氧化应激、自由基、反黑风险</w:t>
            </w:r>
          </w:p>
        </w:tc>
        <w:tc>
          <w:tcPr>
            <w:tcW w:type="dxa" w:w="2160"/>
          </w:tcPr>
          <w:p>
            <w:r>
              <w:t>红没药醇 / 维生素E / 依克多因</w:t>
            </w:r>
          </w:p>
        </w:tc>
        <w:tc>
          <w:tcPr>
            <w:tcW w:type="dxa" w:w="2160"/>
          </w:tcPr>
          <w:p>
            <w:r>
              <w:t>红没药醇0.1–0.5%</w:t>
            </w:r>
          </w:p>
        </w:tc>
        <w:tc>
          <w:tcPr>
            <w:tcW w:type="dxa" w:w="2160"/>
          </w:tcPr>
          <w:p>
            <w:r>
              <w:t>抑制TNF-α、IL-1β、IL-6、iNOS、COX-2；依克多因抗应激；注意护色避光</w:t>
            </w:r>
          </w:p>
        </w:tc>
      </w:tr>
      <w:tr>
        <w:tc>
          <w:tcPr>
            <w:tcW w:type="dxa" w:w="2160"/>
          </w:tcPr>
          <w:p>
            <w:r>
              <w:t>术后即刻、无菌渗液创面</w:t>
            </w:r>
          </w:p>
        </w:tc>
        <w:tc>
          <w:tcPr>
            <w:tcW w:type="dxa" w:w="2160"/>
          </w:tcPr>
          <w:p>
            <w:r>
              <w:t>械字号敷料（重组胶原蛋白/透明质酸钠）</w:t>
            </w:r>
          </w:p>
        </w:tc>
        <w:tc>
          <w:tcPr>
            <w:tcW w:type="dxa" w:w="2160"/>
          </w:tcPr>
          <w:p>
            <w:r>
              <w:t>按注册证限定</w:t>
            </w:r>
          </w:p>
        </w:tc>
        <w:tc>
          <w:tcPr>
            <w:tcW w:type="dxa" w:w="2160"/>
          </w:tcPr>
          <w:p>
            <w:r>
              <w:t>仅走医疗器械路径；妆字号不得宣称疗效或修复创面</w:t>
            </w:r>
          </w:p>
        </w:tc>
      </w:tr>
    </w:tbl>
    <w:p>
      <w:r>
        <w:rPr>
          <w:b/>
        </w:rPr>
        <w:t xml:space="preserve">产品经理视角: </w:t>
      </w:r>
      <w:r>
        <w:t>别再卖"万能修护"的玄学故事。把成分翻译成消费者能感知的承诺："术后第3天泛红肉眼变淡""干绷感当天缓解"，并用 RCT 数据与"分阶段使用"的清晰指引（即刻冷敷贴→早期修护霜→中期精华→晚期防晒）建立专业信任。真正差异化在"分阶段、可感知、有证据"，而非堆料。</w:t>
      </w:r>
    </w:p>
    <w:p>
      <w:pPr>
        <w:pStyle w:val="Heading1"/>
      </w:pPr>
      <w:r>
        <w:t>四、配方逻辑：分阶段供给，别一套用到黑</w:t>
      </w:r>
    </w:p>
    <w:p>
      <w:pPr>
        <w:pStyle w:val="ListBullet"/>
      </w:pPr>
      <w:r>
        <w:t>即刻（0–24h）：无菌冷敷/敷料降温，物理屏障为主，成分越精简越好。</w:t>
      </w:r>
    </w:p>
    <w:p>
      <w:pPr>
        <w:pStyle w:val="ListBullet"/>
      </w:pPr>
      <w:r>
        <w:t>早期（1–7天）：抗炎+保湿双管——泛醇、积雪草苷、红没药醇、透明质酸；绝对避开 A醇/酸类/高浓度VC/酒精/香精。</w:t>
      </w:r>
    </w:p>
    <w:p>
      <w:pPr>
        <w:pStyle w:val="ListBullet"/>
      </w:pPr>
      <w:r>
        <w:t>中期（1–4周）：屏障重建——神经酰胺+胆固醇+脂肪酸复配脂质，模拟天然"砖墙"。</w:t>
      </w:r>
    </w:p>
    <w:p>
      <w:pPr>
        <w:pStyle w:val="ListBullet"/>
      </w:pPr>
      <w:r>
        <w:t>晚期（1–3月）：维稳防反黑——温和抗氧化（VC衍生物、VE、茶多酚）+ 严格物理防晒。</w:t>
      </w:r>
    </w:p>
    <w:p>
      <w:pPr>
        <w:pStyle w:val="ListBullet"/>
      </w:pPr>
      <w:r>
        <w:t>通用原则：无香精、无酒精、无刺激防腐剂；成分精简=低致敏=高复购。</w:t>
      </w:r>
    </w:p>
    <w:p>
      <w:pPr>
        <w:pStyle w:val="Heading1"/>
      </w:pPr>
      <w:r>
        <w:t>五、市场沟通：从"械字号面膜"到"整全护肤"</w:t>
      </w:r>
    </w:p>
    <w:p>
      <w:r>
        <w:t>轻医美术后修护已从医美附属品升级为决定疗效转化率的核心变量。弗若斯特沙利文预计国内医美术后医用敷料市场规模2026年达253.8亿元（2022–2026 CAGR≈30%）；艾媒称整体"械字号"市场约250亿、近两年平均增幅超70%；抖音医用敷料销售额同比+1162%。珀莱雅2025年6月推出首款医用敷料入局（新华网）；资生堂中国联手创健医疗于2026年8月推出医美品牌"RQ律曜"（4款二类械+10款化妆品）；敷尔佳2026年新增二类"医用透明质酸钠依克多因修复贴"并递交重组III型胶原冻干纤维三类申请。"整全护肤（holistic skincare）"理念兴起——高德美阿莱斯汀进入中国，半脸对照显示RF微针术后第1天试验侧红斑改善53.6%、CO₂点阵81.8%受试者认为试验侧恢复更佳。</w:t>
      </w:r>
    </w:p>
    <w:p>
      <w:pPr>
        <w:pStyle w:val="Heading1"/>
      </w:pPr>
      <w:r>
        <w:t>六、合规红线：比成分更决定生死</w:t>
      </w:r>
    </w:p>
    <w:p>
      <w:pPr>
        <w:pStyle w:val="ListBullet"/>
      </w:pPr>
      <w:r>
        <w:t>不存在"械字号面膜/医美面膜"：其本质是医用敷料（医疗器械），命名不得含"面膜""美容""保健"等词（国家药监局多次科普）。</w:t>
      </w:r>
    </w:p>
    <w:p>
      <w:pPr>
        <w:pStyle w:val="ListBullet"/>
      </w:pPr>
      <w:r>
        <w:t>妆字号面膜不得宣称"医学护肤品""药妆"，不得标注医疗术语或暗示医疗作用——违法（《化妆品监督管理条例》《化妆品标签管理办法》）。</w:t>
      </w:r>
    </w:p>
    <w:p>
      <w:pPr>
        <w:pStyle w:val="ListBullet"/>
      </w:pPr>
      <w:r>
        <w:t>械字号按风险分一/二/三类：宣称无菌最低二类；接触真皮深层/慢性创面/可被吸收为三类，上市前需注册。</w:t>
      </w:r>
    </w:p>
    <w:p>
      <w:pPr>
        <w:pStyle w:val="ListBullet"/>
      </w:pPr>
      <w:r>
        <w:t>整改时限：部分按敷料受理、需改变管理属性的产品，批准文号/注册证有效期截止2025年12月31日（央广网），企业多已转"妆字号"功效面膜重新上市。</w:t>
      </w:r>
    </w:p>
    <w:p>
      <w:pPr>
        <w:pStyle w:val="ListBullet"/>
      </w:pPr>
      <w:r>
        <w:t>化妆品可作"修护"宣称（普通化妆品备案），但不得宣称治疗、修复创面、抗炎等药理作用；麻醉类成分不得添加于化妆品。</w:t>
      </w:r>
    </w:p>
    <w:p>
      <w:pPr>
        <w:pStyle w:val="ListBullet"/>
      </w:pPr>
      <w:r>
        <w:t>表述建议：用"舒缓、保湿、修护屏障"替代"修复创面、治疗敏感、医用级"等越界词。</w:t>
      </w:r>
    </w:p>
    <w:p>
      <w:r>
        <w:rPr>
          <w:b/>
        </w:rPr>
        <w:t xml:space="preserve">行动清单（双视角）: </w:t>
      </w:r>
      <w:r>
        <w:t>工程师：① 建"分阶段修护"原料矩阵（即刻/早/中/晚）；② 神经酰胺按3:1:1复配+包裹技术验证渗透；③ 用 TEWL、红斑指数、角质层含水量做人体功效评价。产品经理：① 以 RCT 数据（如泛醇面膜D14红斑/TEWL显著下降）做核心宣称背书；② 合规话术替换越界词，重点押"妆械联合+整全护肤"；③ 渠道上"院线敷料+居家妆字号"双轨，抓围术期刚需复购。</w:t>
      </w:r>
    </w:p>
    <w:p>
      <w:pPr>
        <w:pStyle w:val="Heading1"/>
      </w:pPr>
      <w:r>
        <w:t>七、今日可落地行动</w:t>
      </w:r>
    </w:p>
    <w:p>
      <w:pPr>
        <w:pStyle w:val="ListBullet"/>
      </w:pPr>
      <w:r>
        <w:t>复盘现有修护线，按"即刻/早期/中期/晚期"四象限重排成分与 SKU。</w:t>
      </w:r>
    </w:p>
    <w:p>
      <w:pPr>
        <w:pStyle w:val="ListBullet"/>
      </w:pPr>
      <w:r>
        <w:t>把积雪草苷+泛醇+神经酰胺复配做成招牌组合，并用人体试验补 TEWL/红斑证据。</w:t>
      </w:r>
    </w:p>
    <w:p>
      <w:pPr>
        <w:pStyle w:val="ListBullet"/>
      </w:pPr>
      <w:r>
        <w:t>法务逐条核查宣称，删除"医用级/修复创面/药妆"等高危词。</w:t>
      </w:r>
    </w:p>
    <w:p>
      <w:pPr>
        <w:pStyle w:val="ListBullet"/>
      </w:pPr>
      <w:r>
        <w:t>布局"妆械联合"：敷料（械）+居家修护（妆）组合装，匹配水光/光电项目窗口期。</w:t>
      </w:r>
    </w:p>
    <w:p>
      <w:r>
        <w:t>参考来源：</w:t>
      </w:r>
    </w:p>
    <w:p>
      <w:pPr>
        <w:pStyle w:val="ListBullet"/>
      </w:pPr>
      <w:r>
        <w:t>The Effects of a Standardized Extract of Centella asiatica on Postlaser Resurfacing Wound Healing (split-face RCT, Er:YAG) — https://pubmed.ncbi.nlm.nih.gov/32310680/</w:t>
      </w:r>
    </w:p>
    <w:p>
      <w:pPr>
        <w:pStyle w:val="ListBullet"/>
      </w:pPr>
      <w:r>
        <w:t>Panthenol-Enriched Mask for Skin Barrier Recovery After Facial Laser Treatment (RCT, J Cosmet Dermatol 2025) — https://pubmed.ncbi.nlm.nih.gov/40613435/</w:t>
      </w:r>
    </w:p>
    <w:p>
      <w:pPr>
        <w:pStyle w:val="ListBullet"/>
      </w:pPr>
      <w:r>
        <w:t>Panthenol-Enriched Mask … (PMC full text) — https://pmc.ncbi.nlm.nih.gov/articles/PMC12232337/</w:t>
      </w:r>
    </w:p>
    <w:p>
      <w:pPr>
        <w:pStyle w:val="ListBullet"/>
      </w:pPr>
      <w:r>
        <w:t>Topical Application of Centella asiatica in Wound Healing: Mechanisms and Clinical Efficacy (review) — https://pmc.ncbi.nlm.nih.gov/articles/PMC11510310/</w:t>
      </w:r>
    </w:p>
    <w:p>
      <w:pPr>
        <w:pStyle w:val="ListBullet"/>
      </w:pPr>
      <w:r>
        <w:t>珀莱雅入局"械字号"赛道再迎激烈竞争（新华网） — https://www.xinhuanet.com.cn/fashion/20250619/714e64ac550b4461be8128d7c2240bcd/c.html</w:t>
      </w:r>
    </w:p>
    <w:p>
      <w:pPr>
        <w:pStyle w:val="ListBullet"/>
      </w:pPr>
      <w:r>
        <w:t>万亿美妆存量时代，妆械联合为什么火在今年？（界面新闻） — https://www.jiemian.com/article/15165778.html</w:t>
      </w:r>
    </w:p>
    <w:p>
      <w:pPr>
        <w:pStyle w:val="ListBullet"/>
      </w:pPr>
      <w:r>
        <w:t>存在所谓的"械字号面膜"吗？（国家药监局/新疆药监局科普） — https://mpa.xinjiang.gov.cn/xjyjj/c115625/202504/87660c0796b54361bde7a2368517ae15.shtml</w:t>
      </w:r>
    </w:p>
    <w:p>
      <w:pPr>
        <w:pStyle w:val="ListBullet"/>
      </w:pPr>
      <w:r>
        <w:t>医用敷料产品迎严监管 "擦边球"难再打（央广网） — https://www.cnr.cn/jingji/gundong/20230808/t20230808_526370396.shtml</w:t>
      </w:r>
    </w:p>
    <w:p>
      <w:pPr>
        <w:pStyle w:val="ListBullet"/>
      </w:pPr>
      <w:r>
        <w:t>痘疤雷射前後的保養品搭配指南（含临床数据：神经酰胺TEWL、积雪草半脸对照） — https://ingrelens.com/skin-concerns/a355/acne-scars-laser-pre-post-skincare-guide</w:t>
      </w:r>
    </w:p>
    <w:p>
      <w:pPr>
        <w:pStyle w:val="ListBullet"/>
      </w:pPr>
      <w:r>
        <w:t>化妆品作用原理：修护乳霜的锁湿作用（科普中国） — https://m.kepuchina.cn/tuwendetail?id=651839</w:t>
      </w:r>
    </w:p>
    <w:p>
      <w:pPr>
        <w:pStyle w:val="ListBullet"/>
      </w:pPr>
      <w:r>
        <w:t>轻医美后修护成为增长最快的刚需赛道（三个皮匠报告） — https://www.sgpjbg.com/searchtag/26772925.html</w:t>
      </w:r>
    </w:p>
    <w:p>
      <w:pPr>
        <w:pStyle w:val="ListBullet"/>
      </w:pPr>
      <w:r>
        <w:t xml:space="preserve">《化妆品配方设计6步》（董银卯） — </w:t>
      </w:r>
    </w:p>
    <w:p>
      <w:pPr>
        <w:pStyle w:val="ListBullet"/>
      </w:pPr>
      <w:r>
        <w:t xml:space="preserve">《皮肤科学与化妆品功效评价》（刘玮） — </w:t>
      </w:r>
    </w:p>
    <w:p>
      <w:pPr>
        <w:pStyle w:val="ListBullet"/>
      </w:pPr>
      <w:r>
        <w:t xml:space="preserve">Cosmeceuticals — </w:t>
      </w:r>
    </w:p>
    <w:p>
      <w:pPr>
        <w:pStyle w:val="ListBullet"/>
      </w:pPr>
      <w:r>
        <w:t xml:space="preserve">Handbook of Cosmetic Science and Technology —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