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40"/>
              </w:rPr>
              <w:t>痤疮的免疫-代谢轴与屏障修护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color w:val="BDD7EE"/>
                <w:sz w:val="25"/>
              </w:rPr>
              <w:t>从 C. acnes–皮脂–屏障三角到双视角配方落地（每日学习 #8）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color w:val="D9D9D9"/>
                <w:sz w:val="19"/>
              </w:rPr>
              <w:t>datetopicperspective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2F8"/>
            <w:tcBorders>
              <w:left w:val="single" w:sz="24" w:space="0" w:color="2E75B6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2E75B6"/>
                <w:sz w:val="23"/>
              </w:rPr>
              <w:t>一句话结论（双视角）：</w:t>
            </w:r>
            <w:r>
              <w:rPr>
                <w:rFonts w:ascii="微软雅黑" w:hAnsi="微软雅黑" w:eastAsia="微软雅黑"/>
                <w:sz w:val="21"/>
              </w:rPr>
              <w:t>痤疮不再是单纯的「出油多」，而是皮脂（质+量）→ C. acnes 菌株功能失调 → 先天/适应免疫激活 → 屏障破损 的正反馈环。工程师要同时控油、疏通、抗炎、修护屏障四件事一起做；产品经理要讲清「屏障友好型祛痘」的差异化，而非「杀菌神话」。</w:t>
            </w:r>
          </w:p>
        </w:tc>
      </w:tr>
    </w:tbl>
    <w:p/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一、机理：皮脂–菌群–炎症–屏障四元轴</w:t>
      </w:r>
    </w:p>
    <w:p>
      <w:pPr>
        <w:spacing w:after="140" w:line="336" w:lineRule="auto"/>
      </w:pPr>
      <w:r>
        <w:rPr>
          <w:rFonts w:ascii="微软雅黑" w:hAnsi="微软雅黑" w:eastAsia="微软雅黑"/>
          <w:sz w:val="22"/>
        </w:rPr>
        <w:t>经典四要素（皮脂过度分泌、毛囊角化过度、C. acnes 增殖、炎症）仍在，但 2023–2026 的综述把重心从「细菌数量」转向「皮脂成分改变 + 菌株功能失调 + 屏障破损」。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皮脂质变先于量变：痤疮皮脂中「亚油酸↓、角鲨烯过氧化↑」。过氧化角鲨烯经 LOX/NF-κB/IL-6 直接促粉刺与炎症；内源 VitE 减少加剧氧化应激。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雄激素旁分泌：皮脂腺是雄激素受体（AR）的 intracrine site，睾酮/DHT 叠加局部 IGF-1/PI3K-Akt-mTORC1 信号放大脂质合成——这是外用 AR 抑制剂与低 GI 生活方式干预的理论基础。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C. acnes 触发免疫：并非数量增多，而是菌株毒力/转录活性改变。经 TLR2/TLR4–CD14、PAR-2 识别 → NF-κB/AP-1 → NLRP3 炎症小体成熟 IL-1β；并偏倚 CD4+ T 向 Th17/IL-17 优势。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神经肽放大：压力经 CRH-R2、P 物质（SP）受体促皮脂腺细胞释放 IL-6/IL-8/IL-1，解释了「熬夜爆痘」的神经内分泌通路。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屏障是共同分母：痤疮皮损 TEWL↑、pH↑，desmoglein-1、occludin、claudin-1 等结构蛋白表达↓；IL-1β/IL-17/TNF-α 直接破坏紧密连接。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二、前沿证据（2023–2026）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MDPI 2026 综述：单细胞+空间转录组揭示紧邻皮脂腺的 TREM2+ 巨噬细胞被角鲨烯诱导、且削弱对 C. acnes 的氧化杀菌——把「皮脂-免疫」在空间上连起来。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Frontiers 2023 综述：指出免疫事件先于毛囊角化异常，纠正「先堵后炎」的旧叙事；并系统梳理神经肽通路（TRPV1 直接证据仍有限）。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临床共识：维A酸、过氧化苯甲酰常致 TEWL↑、干燥刺激，主动屏障支持（神经酰胺、烟酰胺）应作为痤疮管理的必备组成，而非美容附加。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三、靶点→原料→添加量→配伍（工程师落地表）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靶点/机制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原料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建议添加量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配伍/pH/稳定要点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毛囊角化过度·微粉刺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水杨酸(BHA)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0.5–2.0%（驻留）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脂溶、醇溶；pH 3–4 最佳；避铁离子；与碱性烟酰胺分相或调 pH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粉刺+炎症+痘印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壬二酸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5–10%（驻留）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pH 4–6；水溶性差需悬浮/复合技术；温和，孕肌可用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皮脂分泌·AR/IGF-1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烟酰胺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2–4%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水溶性，pH 5–7；控油+屏障+美白多效；与酸类分区或错时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炎症红斑·舒缓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皮傲宁 / 4-叔丁基环己醇(SymCalmin)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0.1–0.5%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抗炎舒缓、降低刺激；可复配红没药醇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屏障修护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神经酰胺 NP+胆固醇+脂肪酸(仿生比)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0.2–1%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修复 TEWL；与烟酰胺协同；注意脂相分散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角化异常（备选·夜间）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视黄醇/HPR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0.1–0.3%（视黄醇计）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光敏，夜间用；抗氧化包裹；需建立耐受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强效抗菌（备选）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过氧化苯甲酰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≤2.5%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杀菌强但刺激脱皮；需缓冲体系，不与酸类同高浓</w:t>
            </w:r>
          </w:p>
        </w:tc>
      </w:tr>
    </w:tbl>
    <w:p>
      <w:pPr>
        <w:spacing w:after="40"/>
      </w:pP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四、工程师配方落地要点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复配逻辑：水杨酸（角质疏通）+ 烟酰胺（控油+屏障）+ 神经酰胺（修护）三件套，构成「祛痘不伤屏障」骨架；炎症重加皮傲宁/红没药醇。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pH 设计：酸类活性区 pH 3–4，烟酰胺/神经酰胺区 pH 5–7；若同体系用缓冲或分层/错时（AM 酸、PM 修护）。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稳定性：水杨酸遇铁变色，用无铁容器；视黄醇需抗氧化（BHT/VE）+避光；壬二酸悬浮需增稠。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五、产品经理视角：市场与沟通</w:t>
      </w:r>
    </w:p>
    <w:p>
      <w:pPr>
        <w:spacing w:after="140" w:line="336" w:lineRule="auto"/>
      </w:pPr>
      <w:r>
        <w:rPr>
          <w:rFonts w:ascii="微软雅黑" w:hAnsi="微软雅黑" w:eastAsia="微软雅黑"/>
          <w:sz w:val="22"/>
        </w:rPr>
        <w:t>祛痘赛道从「猛药杀菌」转向「酸类通路 + 屏障修护」双轨；消费者痛点从「消痘」升级为「不反复、不留印、不烂脸」。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市场语言：「调节微生态 / 控油+修护屏障」比「杀灭痤疮杆菌」更合规也更打动敏感痘肌。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差异化卖点：低浓度多通路复配（酸+烟酰胺+神经酰胺）、夜间分时护理、痘印管理（传明酸/壬二酸）。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宣称边界：不得宣称「治疗痤疮/医用」，按《化妆品分类规则》属「祛痘」功效，须有人体功效评价报告。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2F8"/>
            <w:tcBorders>
              <w:left w:val="single" w:sz="24" w:space="0" w:color="2E75B6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2E75B6"/>
                <w:sz w:val="23"/>
              </w:rPr>
              <w:t>合规红线：</w:t>
            </w:r>
            <w:r>
              <w:rPr>
                <w:rFonts w:ascii="微软雅黑" w:hAnsi="微软雅黑" w:eastAsia="微软雅黑"/>
                <w:sz w:val="21"/>
              </w:rPr>
              <w:t>水杨酸驻留类≤2.0%、淋洗类≤3.0%；视黄醇及其酯类驻留类≤0.3%（以视黄醇计）、淋洗类≤0.5%；过氧化苯甲酰驻留类≤2.5%；壬二酸按《化妆品安全技术规范》最新要求执行。所有祛痘宣称须有功效评价依据，严禁医疗用语。</w:t>
            </w:r>
          </w:p>
        </w:tc>
      </w:tr>
    </w:tbl>
    <w:p/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六、行动清单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研发：搭建「水杨酸+烟酰胺+神经酰胺」基础祛痘骨架，验证 pH 与刺激性。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配方：评估皮傲宁/红没药醇替代部分刺激成分，降低 TEWL 风险。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法规：按 2026 规范核对所有活性浓度与祛痘功效评价方案。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产品：以「屏障友好型祛痘」为沟通主轴，差异化对标敏感痘肌。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3A5F"/>
          <w:sz w:val="25"/>
        </w:rPr>
        <w:t>参考资料与出处链接</w:t>
      </w:r>
    </w:p>
    <w:p>
      <w:pPr>
        <w:pStyle w:val="ListNumber"/>
        <w:spacing w:after="40"/>
      </w:pPr>
      <w:r>
        <w:rPr>
          <w:sz w:val="20"/>
        </w:rPr>
        <w:t xml:space="preserve">1. </w:t>
      </w:r>
      <w:hyperlink r:id="rId9">
        <w:r>
          <w:rPr>
            <w:rStyle w:val="Hyperlink"/>
            <w:rFonts w:eastAsia="微软雅黑" w:ascii="微软雅黑" w:hAnsi="微软雅黑"/>
          </w:rPr>
          <w:t>A review of skin immune processes in acne (Frontiers 2023)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https://www.frontiersin.org/journals/immunology/articles/10.3389/fimmu.2023.1324930</w:t>
      </w:r>
    </w:p>
    <w:p>
      <w:pPr>
        <w:pStyle w:val="ListNumber"/>
        <w:spacing w:after="40"/>
      </w:pPr>
      <w:r>
        <w:rPr>
          <w:sz w:val="20"/>
        </w:rPr>
        <w:t xml:space="preserve">2. </w:t>
      </w:r>
      <w:hyperlink r:id="rId10">
        <w:r>
          <w:rPr>
            <w:rStyle w:val="Hyperlink"/>
            <w:rFonts w:eastAsia="微软雅黑" w:ascii="微软雅黑" w:hAnsi="微软雅黑"/>
          </w:rPr>
          <w:t>Acne and Rosacea: Distinct Disorders Sharing a Sebum–Microbiome–Inflammation–Barrier Axis (MDPI 2026)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https://www.mdpi.com/2673-6179/6/3/32</w:t>
      </w:r>
    </w:p>
    <w:p>
      <w:pPr>
        <w:pStyle w:val="ListNumber"/>
        <w:spacing w:after="40"/>
      </w:pPr>
      <w:r>
        <w:rPr>
          <w:sz w:val="20"/>
        </w:rPr>
        <w:t xml:space="preserve">3. </w:t>
      </w:r>
      <w:hyperlink r:id="rId11">
        <w:r>
          <w:rPr>
            <w:rStyle w:val="Hyperlink"/>
            <w:rFonts w:eastAsia="微软雅黑" w:ascii="微软雅黑" w:hAnsi="微软雅黑"/>
          </w:rPr>
          <w:t>祛痘核心成分技术分析：从皮脂调控、角质疏通到炎症管理（行业分析）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https://www.sohu.com/a/1025230915_122591783</w:t>
      </w:r>
    </w:p>
    <w:p>
      <w:pPr>
        <w:pStyle w:val="ListNumber"/>
        <w:spacing w:after="40"/>
      </w:pPr>
      <w:r>
        <w:rPr>
          <w:sz w:val="20"/>
        </w:rPr>
        <w:t xml:space="preserve">4. </w:t>
      </w:r>
      <w:hyperlink r:id="rId12">
        <w:r>
          <w:rPr>
            <w:rStyle w:val="Hyperlink"/>
            <w:rFonts w:eastAsia="微软雅黑" w:ascii="微软雅黑" w:hAnsi="微软雅黑"/>
          </w:rPr>
          <w:t>《化妆品安全技术规范》限用/准用组分（水杨酸、视黄醇、过氧化苯甲酰等）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https://www.reach24h.com/cosmetic/industry-news/safety-specification-update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frontiersin.org/journals/immunology/articles/10.3389/fimmu.2023.1324930" TargetMode="External"/><Relationship Id="rId10" Type="http://schemas.openxmlformats.org/officeDocument/2006/relationships/hyperlink" Target="https://www.mdpi.com/2673-6179/6/3/32" TargetMode="External"/><Relationship Id="rId11" Type="http://schemas.openxmlformats.org/officeDocument/2006/relationships/hyperlink" Target="https://www.sohu.com/a/1025230915_122591783" TargetMode="External"/><Relationship Id="rId12" Type="http://schemas.openxmlformats.org/officeDocument/2006/relationships/hyperlink" Target="https://www.reach24h.com/cosmetic/industry-news/safety-specification-upd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