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屏障与神经酰胺：皮肤「砖墙」里的不可替代脂质</w:t>
      </w:r>
    </w:p>
    <w:p>
      <w:r>
        <w:rPr>
          <w:i/>
        </w:rPr>
        <w:t>从分子铆钉到三重神经酰胺复配——工程师如何落地、产品经理如何讲清</w:t>
      </w:r>
    </w:p>
    <w:p>
      <w:r>
        <w:t>日期：2026-10-30　第 4/15 期　主题：屏障与神经酰胺</w:t>
      </w:r>
    </w:p>
    <w:p>
      <w:r>
        <w:rPr>
          <w:b/>
        </w:rPr>
        <w:t xml:space="preserve">一句话结论（双视角）: </w:t>
      </w:r>
      <w:r>
        <w:t>工程师视角：神经酰胺是角质层细胞间脂质约 50% 的组成，复配 NP/AP/EOP 并按 CER:CHOL:FFA≈3:1:1 仿生比例，才能在 0.2–0.5% 总量下把 TEWL 显著拉低；单一种类只是「形像而神不似」。产品经理视角：消费者已懂「屏障修护」，但分不清「真神经酰胺」与「糖基植物神经酰胺」；用临床可验证的屏障数据讲，比堆概念更安全、更有溢价。</w:t>
      </w:r>
    </w:p>
    <w:p>
      <w:pPr>
        <w:pStyle w:val="Heading1"/>
      </w:pPr>
      <w:r>
        <w:t>一、机理：神经酰胺是屏障的「水泥」</w:t>
      </w:r>
    </w:p>
    <w:p>
      <w:r>
        <w:t>角质层（stratum corneum）被比喻为「砖墙结构」：角质细胞是砖，细胞间脂质是水泥。这套脂质基质中神经酰胺约占重量 50%，与胆固醇（约 25%）、游离脂肪酸（约 15–25%）以近似等摩尔/仿生 3:1:1 的比例自组装成层状结构（长周期相 LPP，重复间距约 13 nm），构成皮肤最主要的透皮失水（TEWL）屏障。当神经酰胺占比低于约 40%（如特应性皮炎、衰老皮肤），LPP 崩解成无序短周期相，水分失控外逃、刺激物长驱直入。</w:t>
      </w:r>
    </w:p>
    <w:p>
      <w:pPr>
        <w:pStyle w:val="ListBullet"/>
      </w:pPr>
      <w:r>
        <w:t>人体已鉴定 12 种以上神经酰胺亚类（文献常按 CER1–CER9/CER12 归类），由鞘氨醇碱基 + 脂肪酸经酰胺键连接。</w:t>
      </w:r>
    </w:p>
    <w:p>
      <w:pPr>
        <w:pStyle w:val="ListBullet"/>
      </w:pPr>
      <w:r>
        <w:t>命名解码：首字母=脂肪酸类型（N 非羟基 / A α-羟基 / EO ω-酯化羟基），次字母=鞘氨醇碱基（S 神经鞘氨醇 / P 植物鞘氨醇 / H 6-羟基鞘氨醇）。例：CER NP=非羟基脂肪酸+植物鞘氨醇。</w:t>
      </w:r>
    </w:p>
    <w:p>
      <w:pPr>
        <w:pStyle w:val="ListBullet"/>
      </w:pPr>
      <w:r>
        <w:t>碳链长度是关键：人体约 80–90% 角质层神经酰胺脂肪酸链长 &gt;C24，C26/C28 在 NP/NH/AP/AH 中富集；特应性皮炎与干燥皮的链长普遍更短——链长可作屏障受损的生物标志物。</w:t>
      </w:r>
    </w:p>
    <w:p>
      <w:pPr>
        <w:pStyle w:val="ListBullet"/>
      </w:pPr>
      <w:r>
        <w:t>三大核心亚型：NP（旧称 Ceramide 3，含量最高、主力锁水）、AP（旧称 Ceramide 6-II，参与角质正常脱落）、EOP（旧称 Ceramide 1，ω-酯化超长链，像「分子铆钉」跨层钉住片层，缺失与屏障严重下降直接相关）。</w:t>
      </w:r>
    </w:p>
    <w:p>
      <w:pPr>
        <w:pStyle w:val="Heading1"/>
      </w:pPr>
      <w:r>
        <w:t>二、前沿证据（2025–2026）</w:t>
      </w:r>
    </w:p>
    <w:p>
      <w:r>
        <w:t>多项 2025–2026 年的综述与 RCT 共同指向：「多亚型复配 + 仿生比例」显著优于单一种类。2026 一项 8 周随机对照（n=156）显示：单一神经酰胺 TEWL 降 18%、多神经酰胺复合物降 34%，而按生理 3:1:1（神经酰胺:胆固醇:脂肪酸）复配降 52%、保湿提升 58%。Danby 等（2022）双盲 RCT（n=62，CER1:3:6-II 按 1:2:1、总量 1.5% w/w）第 8 周 SCORAD 较基线降 38.3%，对照基质仅 17.9%（p&lt;0.05）。Spada 等（2018）则在特应性皮炎 4 周即获 47% TEWL 下降。韩国团队 2026 发表于 Journal of Cosmetic Dermatology 的研究进一步证实：同浓度 0.5% 下，脂肪酸链长直接影响屏障修复——超长链更利于致密有序片层。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证据类型</w:t>
            </w:r>
          </w:p>
        </w:tc>
        <w:tc>
          <w:tcPr>
            <w:tcW w:type="dxa" w:w="2880"/>
          </w:tcPr>
          <w:p>
            <w:r>
              <w:t>核心结论</w:t>
            </w:r>
          </w:p>
        </w:tc>
        <w:tc>
          <w:tcPr>
            <w:tcW w:type="dxa" w:w="2880"/>
          </w:tcPr>
          <w:p>
            <w:r>
              <w:t>对配方/宣称的启示</w:t>
            </w:r>
          </w:p>
        </w:tc>
      </w:tr>
      <w:tr>
        <w:tc>
          <w:tcPr>
            <w:tcW w:type="dxa" w:w="2880"/>
          </w:tcPr>
          <w:p>
            <w:r>
              <w:t>8 周 RCT (n=156, 2026)</w:t>
            </w:r>
          </w:p>
        </w:tc>
        <w:tc>
          <w:tcPr>
            <w:tcW w:type="dxa" w:w="2880"/>
          </w:tcPr>
          <w:p>
            <w:r>
              <w:t>3:1:1 仿生复配 TEWL 降 52%、保湿 +58%，优于单/多单一类</w:t>
            </w:r>
          </w:p>
        </w:tc>
        <w:tc>
          <w:tcPr>
            <w:tcW w:type="dxa" w:w="2880"/>
          </w:tcPr>
          <w:p>
            <w:r>
              <w:t>主推「复配仿生比例」而非「含神经酰胺」模糊话术</w:t>
            </w:r>
          </w:p>
        </w:tc>
      </w:tr>
      <w:tr>
        <w:tc>
          <w:tcPr>
            <w:tcW w:type="dxa" w:w="2880"/>
          </w:tcPr>
          <w:p>
            <w:r>
              <w:t>双盲 RCT (Danby 2022, n=62)</w:t>
            </w:r>
          </w:p>
        </w:tc>
        <w:tc>
          <w:tcPr>
            <w:tcW w:type="dxa" w:w="2880"/>
          </w:tcPr>
          <w:p>
            <w:r>
              <w:t>CER1:3:6-II=1:2:1、总量 1.5% 使 SCORAD 降 38.3% vs 17.9%</w:t>
            </w:r>
          </w:p>
        </w:tc>
        <w:tc>
          <w:tcPr>
            <w:tcW w:type="dxa" w:w="2880"/>
          </w:tcPr>
          <w:p>
            <w:r>
              <w:t>敏感/特应维持期可用 1–1.5% 复配浓度做功效依据</w:t>
            </w:r>
          </w:p>
        </w:tc>
      </w:tr>
      <w:tr>
        <w:tc>
          <w:tcPr>
            <w:tcW w:type="dxa" w:w="2880"/>
          </w:tcPr>
          <w:p>
            <w:r>
              <w:t>RCT (Spada 2018)</w:t>
            </w:r>
          </w:p>
        </w:tc>
        <w:tc>
          <w:tcPr>
            <w:tcW w:type="dxa" w:w="2880"/>
          </w:tcPr>
          <w:p>
            <w:r>
              <w:t>4 周 TEWL 降 47%（AD 人群）</w:t>
            </w:r>
          </w:p>
        </w:tc>
        <w:tc>
          <w:tcPr>
            <w:tcW w:type="dxa" w:w="2880"/>
          </w:tcPr>
          <w:p>
            <w:r>
              <w:t>「修护屏障」宣称需配 TEWL 实测，而非仅主观评价</w:t>
            </w:r>
          </w:p>
        </w:tc>
      </w:tr>
      <w:tr>
        <w:tc>
          <w:tcPr>
            <w:tcW w:type="dxa" w:w="2880"/>
          </w:tcPr>
          <w:p>
            <w:r>
              <w:t>链长研究 (J Cosmet Dermatol 2026)</w:t>
            </w:r>
          </w:p>
        </w:tc>
        <w:tc>
          <w:tcPr>
            <w:tcW w:type="dxa" w:w="2880"/>
          </w:tcPr>
          <w:p>
            <w:r>
              <w:t>0.5% 同浓度下超长链（C26/C28）修复更优</w:t>
            </w:r>
          </w:p>
        </w:tc>
        <w:tc>
          <w:tcPr>
            <w:tcW w:type="dxa" w:w="2880"/>
          </w:tcPr>
          <w:p>
            <w:r>
              <w:t>可选超长链亚类或植物鞘氨醇，做差异化卖点</w:t>
            </w:r>
          </w:p>
        </w:tc>
      </w:tr>
    </w:tbl>
    <w:p>
      <w:r>
        <w:rPr>
          <w:b/>
        </w:rPr>
        <w:t xml:space="preserve">产品经理视角: </w:t>
      </w:r>
      <w:r>
        <w:t>「屏障修护」已被市场教育成熟，下一竞争点是「真修护 vs 假水润」。糖基/植物神经酰胺可在 4 周带来约 18% TEWL 下降（真神经酰胺约 34%），产生「假屏障」体感——这是 2026 年最易被监管与 KOL 放大的信任风险点。卖点应落到「人体同源亚类 + 可验证屏障指标」。</w:t>
      </w:r>
    </w:p>
    <w:p>
      <w:pPr>
        <w:pStyle w:val="Heading1"/>
      </w:pPr>
      <w:r>
        <w:t>三、配方落地：靶点 → 原料 → 添加量 → 配伍/pH/稳定</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靶点/功能</w:t>
            </w:r>
          </w:p>
        </w:tc>
        <w:tc>
          <w:tcPr>
            <w:tcW w:type="dxa" w:w="2160"/>
          </w:tcPr>
          <w:p>
            <w:r>
              <w:t>推荐原料</w:t>
            </w:r>
          </w:p>
        </w:tc>
        <w:tc>
          <w:tcPr>
            <w:tcW w:type="dxa" w:w="2160"/>
          </w:tcPr>
          <w:p>
            <w:r>
              <w:t>建议添加量（终产品）</w:t>
            </w:r>
          </w:p>
        </w:tc>
        <w:tc>
          <w:tcPr>
            <w:tcW w:type="dxa" w:w="2160"/>
          </w:tcPr>
          <w:p>
            <w:r>
              <w:t>配伍 / pH / 稳定要点</w:t>
            </w:r>
          </w:p>
        </w:tc>
      </w:tr>
      <w:tr>
        <w:tc>
          <w:tcPr>
            <w:tcW w:type="dxa" w:w="2160"/>
          </w:tcPr>
          <w:p>
            <w:r>
              <w:t>主力锁水、补砖缝（NP 系）</w:t>
            </w:r>
          </w:p>
        </w:tc>
        <w:tc>
          <w:tcPr>
            <w:tcW w:type="dxa" w:w="2160"/>
          </w:tcPr>
          <w:p>
            <w:r>
              <w:t>神经酰胺 NP（Ceramide 3，INCI: Ceramide NP）</w:t>
            </w:r>
          </w:p>
        </w:tc>
        <w:tc>
          <w:tcPr>
            <w:tcW w:type="dxa" w:w="2160"/>
          </w:tcPr>
          <w:p>
            <w:r>
              <w:t>0.10–0.50%（常用 0.2–0.3% 单体；复配更高）</w:t>
            </w:r>
          </w:p>
        </w:tc>
        <w:tc>
          <w:tcPr>
            <w:tcW w:type="dxa" w:w="2160"/>
          </w:tcPr>
          <w:p>
            <w:r>
              <w:t>pH 5.0–7.5；油相 70–75℃ 预分散，降温后加；易在冷却/低温再结晶，需做 5℃/40℃ 储存观察</w:t>
            </w:r>
          </w:p>
        </w:tc>
      </w:tr>
      <w:tr>
        <w:tc>
          <w:tcPr>
            <w:tcW w:type="dxa" w:w="2160"/>
          </w:tcPr>
          <w:p>
            <w:r>
              <w:t>角质脱落、屏障有序（AP 系）</w:t>
            </w:r>
          </w:p>
        </w:tc>
        <w:tc>
          <w:tcPr>
            <w:tcW w:type="dxa" w:w="2160"/>
          </w:tcPr>
          <w:p>
            <w:r>
              <w:t>神经酰胺 AP（Ceramide 6-II）</w:t>
            </w:r>
          </w:p>
        </w:tc>
        <w:tc>
          <w:tcPr>
            <w:tcW w:type="dxa" w:w="2160"/>
          </w:tcPr>
          <w:p>
            <w:r>
              <w:t>0.10–0.25%</w:t>
            </w:r>
          </w:p>
        </w:tc>
        <w:tc>
          <w:tcPr>
            <w:tcW w:type="dxa" w:w="2160"/>
          </w:tcPr>
          <w:p>
            <w:r>
              <w:t>pH 4.5–6.8；与 NP 共用油相预混，控制总脂负载避免颗粒感</w:t>
            </w:r>
          </w:p>
        </w:tc>
      </w:tr>
      <w:tr>
        <w:tc>
          <w:tcPr>
            <w:tcW w:type="dxa" w:w="2160"/>
          </w:tcPr>
          <w:p>
            <w:r>
              <w:t>跨层「分子铆钉」（EOP 系）</w:t>
            </w:r>
          </w:p>
        </w:tc>
        <w:tc>
          <w:tcPr>
            <w:tcW w:type="dxa" w:w="2160"/>
          </w:tcPr>
          <w:p>
            <w:r>
              <w:t>神经酰胺 EOP（Ceramide 1，ω-酯化超长链）</w:t>
            </w:r>
          </w:p>
        </w:tc>
        <w:tc>
          <w:tcPr>
            <w:tcW w:type="dxa" w:w="2160"/>
          </w:tcPr>
          <w:p>
            <w:r>
              <w:t>0.05–0.10%</w:t>
            </w:r>
          </w:p>
        </w:tc>
        <w:tc>
          <w:tcPr>
            <w:tcW w:type="dxa" w:w="2160"/>
          </w:tcPr>
          <w:p>
            <w:r>
              <w:t>pH 6.0–8.0；超长链最易结晶，先做油浓缩液再乳化，勿直接干粉入冷水</w:t>
            </w:r>
          </w:p>
        </w:tc>
      </w:tr>
      <w:tr>
        <w:tc>
          <w:tcPr>
            <w:tcW w:type="dxa" w:w="2160"/>
          </w:tcPr>
          <w:p>
            <w:r>
              <w:t>仿生骨架、提升片层密度</w:t>
            </w:r>
          </w:p>
        </w:tc>
        <w:tc>
          <w:tcPr>
            <w:tcW w:type="dxa" w:w="2160"/>
          </w:tcPr>
          <w:p>
            <w:r>
              <w:t>胆固醇 + 游离脂肪酸（C16–C22）</w:t>
            </w:r>
          </w:p>
        </w:tc>
        <w:tc>
          <w:tcPr>
            <w:tcW w:type="dxa" w:w="2160"/>
          </w:tcPr>
          <w:p>
            <w:r>
              <w:t>与神经酰胺约 1:1:1 ~ 3:1:1（CER:CHOL:FFA）</w:t>
            </w:r>
          </w:p>
        </w:tc>
        <w:tc>
          <w:tcPr>
            <w:tcW w:type="dxa" w:w="2160"/>
          </w:tcPr>
          <w:p>
            <w:r>
              <w:t>与神经酰胺/甾醇同属脂相，需统一熔程与加料顺序；避免高比例 AHA/BHA 同体系长期共存</w:t>
            </w:r>
          </w:p>
        </w:tc>
      </w:tr>
      <w:tr>
        <w:tc>
          <w:tcPr>
            <w:tcW w:type="dxa" w:w="2160"/>
          </w:tcPr>
          <w:p>
            <w:r>
              <w:t>协同抗炎、舒缓</w:t>
            </w:r>
          </w:p>
        </w:tc>
        <w:tc>
          <w:tcPr>
            <w:tcW w:type="dxa" w:w="2160"/>
          </w:tcPr>
          <w:p>
            <w:r>
              <w:t>植物鞘氨醇（Phytosphingosine）、泛醇、β-葡聚糖</w:t>
            </w:r>
          </w:p>
        </w:tc>
        <w:tc>
          <w:tcPr>
            <w:tcW w:type="dxa" w:w="2160"/>
          </w:tcPr>
          <w:p>
            <w:r>
              <w:t>植物鞘氨醇按供应商建议；泛醇 0.5–2%</w:t>
            </w:r>
          </w:p>
        </w:tc>
        <w:tc>
          <w:tcPr>
            <w:tcW w:type="dxa" w:w="2160"/>
          </w:tcPr>
          <w:p>
            <w:r>
              <w:t>可强化屏障信号与耐受；与烟酰胺（低量）协同，但避免与强酸异步导致 pH 漂移</w:t>
            </w:r>
          </w:p>
        </w:tc>
      </w:tr>
    </w:tbl>
    <w:p>
      <w:r>
        <w:t>工艺要点：神经酰胺熔点高、亲脂、极易再结晶，是「最难做的活性物之一」。黄金递送系统是多重层状乳化（MLE, multi-lamellar emulsion）——把神经酰胺、胆固醇、脂肪酸在油相预组织成片层，上脸后水分蒸发驱动相变，原位沉积连续片层膜（cryo-TEM 显示与天然角质层脂质排列几乎一致），远优于普通乳液形成的断片结晶（200–500 nm 间隙）。替代路线：伪神经酰胺（如 PC-9S，分子量更低、结晶倾向小）；或包封（脂质体/纳米乳/固体脂质颗粒）提升溶解、稳定与滞留。整体体系 pH 以弱酸至近中性（5.5–6.5）为宜，配伍烟酰胺、泛醇、角鲨烷、依克多因、积雪草苷友好。</w:t>
      </w:r>
    </w:p>
    <w:p>
      <w:pPr>
        <w:pStyle w:val="Heading1"/>
      </w:pPr>
      <w:r>
        <w:t>四、市场沟通（消费者语言）</w:t>
      </w:r>
    </w:p>
    <w:p>
      <w:pPr>
        <w:pStyle w:val="ListBullet"/>
      </w:pPr>
      <w:r>
        <w:t>赛道确定性强：2026 年全球神经酰胺市场约 4.2 亿美元；中国自认敏感肌女性比例已超四成，构成稳定需求底盘。</w:t>
      </w:r>
    </w:p>
    <w:p>
      <w:pPr>
        <w:pStyle w:val="ListBullet"/>
      </w:pPr>
      <w:r>
        <w:t>从专业线下沉大众线：「屏障修护」已成大众面霜/身体乳标配叙事，并外溢到洗去型（洁面、沐浴）与头皮护理（头皮屏障与面部脂质构成相近）。</w:t>
      </w:r>
    </w:p>
    <w:p>
      <w:pPr>
        <w:pStyle w:val="ListBullet"/>
      </w:pPr>
      <w:r>
        <w:t>话术升级：少讲「补水」，多讲「把流失的水泥补回去、把漏风漏水堵上」；用「三重神经酰胺 / 人体同源亚类 / 仿生 3:1:1」替代模糊的「含神经酰胺」。</w:t>
      </w:r>
    </w:p>
    <w:p>
      <w:pPr>
        <w:pStyle w:val="ListBullet"/>
      </w:pPr>
      <w:r>
        <w:t>国产替代提速：合成生物学实现植物鞘氨醇吨级量产与超长链原创亚型开发，平抑价格、降低使用门槛，可讲「中国原料创新」故事。</w:t>
      </w:r>
    </w:p>
    <w:p>
      <w:pPr>
        <w:pStyle w:val="Heading1"/>
      </w:pPr>
      <w:r>
        <w:t>五、合规红线</w:t>
      </w:r>
    </w:p>
    <w:p>
      <w:pPr>
        <w:pStyle w:val="ListBullet"/>
      </w:pPr>
      <w:r>
        <w:t>功效宣称收紧：2026 年「舒缓」「修护」类宣称需功效评价报告支撑；神经酰胺胜在有文献与临床数据，做测试更易拿到可信结果——宣称要有 TEWL/Corneometer 等实测背书，杜绝纯概念。</w:t>
      </w:r>
    </w:p>
    <w:p>
      <w:pPr>
        <w:pStyle w:val="ListBullet"/>
      </w:pPr>
      <w:r>
        <w:t>INCI 与标签真实：使用真神经酰胺应如实标注 Ceramide NP/AP/EOP；「植物神经酰胺/糖基神经酰胺」≠ 人体神经酰胺，2026 年欧美已释放「须标明化学性质」的监管信号，盲目蹭「纯素」有翻车风险。</w:t>
      </w:r>
    </w:p>
    <w:p>
      <w:pPr>
        <w:pStyle w:val="ListBullet"/>
      </w:pPr>
      <w:r>
        <w:t>宣称边界：不可宣称「治疗」特应性皮炎等医疗功效；定位为日常屏障养护、辅助舒缓，避免疗效化、绝对化用语。</w:t>
      </w:r>
    </w:p>
    <w:p>
      <w:pPr>
        <w:pStyle w:val="ListBullet"/>
      </w:pPr>
      <w:r>
        <w:t>稳定性与微生物：高油/无水体系不自动安全，仍须防腐效力与微生物质控；含神经酰胺不替代防腐剂。</w:t>
      </w:r>
    </w:p>
    <w:p>
      <w:pPr>
        <w:pStyle w:val="Heading1"/>
      </w:pPr>
      <w:r>
        <w:t>六、行动清单（待办）</w:t>
      </w:r>
    </w:p>
    <w:p>
      <w:pPr>
        <w:pStyle w:val="ListBullet"/>
      </w:pPr>
      <w:r>
        <w:t>工程师：下个屏障配方以 NP:AP:EOP ≈ 主:辅:微量 + 胆固醇/FFA 仿生 3:1:1 立样，目标终产品神经酰胺总量 0.3–0.5%，做 MLE 油相预混。</w:t>
      </w:r>
    </w:p>
    <w:p>
      <w:pPr>
        <w:pStyle w:val="ListBullet"/>
      </w:pPr>
      <w:r>
        <w:t>工程师：安排 5℃/室温/40℃ 三温储存 + 离心 + 冻融，监控再结晶、析晶、颗粒感（24h/1w/2w/4w）。</w:t>
      </w:r>
    </w:p>
    <w:p>
      <w:pPr>
        <w:pStyle w:val="ListBullet"/>
      </w:pPr>
      <w:r>
        <w:t>产品经理：梳理「真 vs 假神经酰胺」沟通口径，准备 TEWL 实测素材，规避「植物神经酰胺」模糊宣称。</w:t>
      </w:r>
    </w:p>
    <w:p>
      <w:pPr>
        <w:pStyle w:val="ListBullet"/>
      </w:pPr>
      <w:r>
        <w:t>合规：为「修护/舒缓」备齐功效评价报告；核对 INCI 标注与成分真实组成一致。</w:t>
      </w:r>
    </w:p>
    <w:p>
      <w:pPr>
        <w:pStyle w:val="ListBullet"/>
      </w:pPr>
      <w:r>
        <w:t>趋势跟踪：关注超长链亚型、智能经皮递送（可变形脂质体）、合成生物学国产原料三大创新方向。</w:t>
      </w:r>
    </w:p>
    <w:p>
      <w:r>
        <w:t>参考来源：</w:t>
      </w:r>
    </w:p>
    <w:p>
      <w:pPr>
        <w:pStyle w:val="ListBullet"/>
      </w:pPr>
      <w:r>
        <w:t>Ceramide Formulations (2026): Skin Barrier Function Research Update — Dermis Research — https://www.dermisresearch.org/research/ceramide-formulations</w:t>
      </w:r>
    </w:p>
    <w:p>
      <w:pPr>
        <w:pStyle w:val="ListBullet"/>
      </w:pPr>
      <w:r>
        <w:t>Ceramides and Skin Barrier Repair: Molecular Architecture, Clinical Evidence, and Advanced Formulation Science (2026 Review) — https://melasyl.com/ceramides-skin-barrier-repair-clinical-evidence-formulation-2026</w:t>
      </w:r>
    </w:p>
    <w:p>
      <w:pPr>
        <w:pStyle w:val="ListBullet"/>
      </w:pPr>
      <w:r>
        <w:t>LENGTH MATTERS: Which ceramides support the skin barrier? (J Cosmetic Dermatology 2026) — https://cosmedmedia.com/blogs/news-en/length-matters-which-ceramides-support-the-skin-barrier</w:t>
      </w:r>
    </w:p>
    <w:p>
      <w:pPr>
        <w:pStyle w:val="ListBullet"/>
      </w:pPr>
      <w:r>
        <w:t>2026上海化妆品和皮肤健康学术会议神经酰胺分会暨第三届皮肤神经酰胺专题研究组论坛（新华网） — https://app.xinhuanet.com/news/article.html?articleId=202610154f6e10fe61684b43bb822c372607d0b2</w:t>
      </w:r>
    </w:p>
    <w:p>
      <w:pPr>
        <w:pStyle w:val="ListBullet"/>
      </w:pPr>
      <w:r>
        <w:t>神经酰胺为什么成了敏感肌的「刚需」？代工厂拆解市场逻辑（广州微肽） — http://www.gzweitai.cn/index.php/index/news?id=622</w:t>
      </w:r>
    </w:p>
    <w:p>
      <w:pPr>
        <w:pStyle w:val="ListBullet"/>
      </w:pPr>
      <w:r>
        <w:t>2026年全球神经酰胺市场达4.2亿美元，功效护肤赛道再添确定性（共研网） — https://gonyn.com/industry/1959396.html</w:t>
      </w:r>
    </w:p>
    <w:p>
      <w:pPr>
        <w:pStyle w:val="ListBullet"/>
      </w:pPr>
      <w:r>
        <w:t>Ceramide NP Powder — Complete Cosmetic Formulation Guide (JustGlow) — https://www.justglow.co.uk/pages/ceramide-np-powder</w:t>
      </w:r>
    </w:p>
    <w:p>
      <w:pPr>
        <w:pStyle w:val="ListBullet"/>
      </w:pPr>
      <w:r>
        <w:t>Ceramide EOP Powder — Complete Cosmetic Formulation Guide (JustGlow) — http://www.justglow.co.uk/pages/ceramide-eop-powder</w:t>
      </w:r>
    </w:p>
    <w:p>
      <w:pPr>
        <w:pStyle w:val="ListBullet"/>
      </w:pPr>
      <w:r>
        <w:t>Ceramide Complex: Benefits, Types &amp; Formulation (Formula Chemistry) — https://formulachemistry.com/ceramide-complex-skin-replenishing-ingredient/</w:t>
      </w:r>
    </w:p>
    <w:p>
      <w:pPr>
        <w:pStyle w:val="ListBullet"/>
      </w:pPr>
      <w:r>
        <w:t>Ceramides Ingredient — Custom Cosmetics Manufacturer (Zerun) — https://zeruncosmetic.com/ceramides-ingredient-custom-cosmetics-manufacturer/</w:t>
      </w:r>
    </w:p>
    <w:p>
      <w:pPr>
        <w:pStyle w:val="ListBullet"/>
      </w:pPr>
      <w:r>
        <w:t xml:space="preserve">董银卯《化妆品配方设计6步》 — </w:t>
      </w:r>
    </w:p>
    <w:p>
      <w:pPr>
        <w:pStyle w:val="ListBullet"/>
      </w:pPr>
      <w:r>
        <w:t xml:space="preserve">刘玮《皮肤科学与化妆品功效评价》 — </w:t>
      </w:r>
    </w:p>
    <w:p>
      <w:pPr>
        <w:pStyle w:val="ListBullet"/>
      </w:pPr>
      <w:r>
        <w:t xml:space="preserve">Draelos ZD《Cosmeceuticals》 — </w:t>
      </w:r>
    </w:p>
    <w:p>
      <w:pPr>
        <w:pStyle w:val="ListBullet"/>
      </w:pPr>
      <w:r>
        <w:t xml:space="preserve">Barel AO 等《Handbook of Cosmetic Science and Technology》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