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内核或典型的 RTOS 开发中，msleep 和系统滴答定时器（System Tick）确实有着直接的血缘关系，但在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模拟 I2C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这种微秒级时序要求的场景下，使用 msleep 通常会导致通信失败。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以下是深层次的技术逻辑：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msleep 的机制：基于 Tick 的休眠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实现原理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：msleep(n) 会将当前任务标记为“睡眠”状态，并让出 CPU 供其他任务使用。系统内核通过滴答定时器（System Tick）来周期性地检查时间。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精度限制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：它的最小精度取决于内核的 HZ 配置。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HZ=100，一个 Tick 周期是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HZ=1000，一个 Tick 周期是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实际偏差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：即便你调用 msleep(1)，实际的延时往往是 1ms + 调度开销。在 Linux 这种非硬实时系统中，由于进程调度的存在，这个延时可能变成 2ms 甚至更多。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为什么模拟 I2C 不能用 msleep？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I2C 的标准速率（Standard Mode）是 100kHz，这意味着一个时钟周期只有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10微秒 ($10\mu s$)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量级不对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：msleep 是毫秒级延时，比 I2C 需要的微秒级延时慢了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到 1000 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时序破碎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：I2C 是一种同步序列时序。如果你在拉高 SCL 后调用 msleep，由于它会引起任务切换（Context Switch），当你被重新唤醒时，可能已经过去了几个毫秒。对于从机来说，这种极其不稳定的时钟脉冲会导致通信超时或逻辑错误。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模拟 I2C 正确的延时方式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对于模拟（Bit-banging）I2C，必须使用忙等待（Busy-waiting）类的延时函数，这类函数不触发任务调度：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 内核态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 udelay(n) 或 ndelay(n)。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它们通过循环执行 nop 指令或读取高精度计时器来实现，不会让出 CPU。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单片机/裸机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 DWT 计数器或简单的 for/while 循环。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总结与对比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msleep / ssleep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udelay / mdelay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底层原理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系统滴答定时器 + 任务调度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 忙等待（自旋）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是否释放 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是（其他任务可以运行）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否（死占 CPU，浪费性能）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适用场景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秒/毫秒级，对精度要求不高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微秒级，硬件初始化/模拟时序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模拟 I2C 表现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不可用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（会导致通信极慢且不稳定）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标准用法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（确保时序严格对齐）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特别注意：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内核开发模拟 I2C 驱动时，通常建议使用内核提供的 i2c-gpio 框架（基于 bit-bang 算法）。它内部封装了高精度的延时机制。如果你是手动编写 GPIO 操作，请务必将 msleep 换成 udelay。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如果在高负载系统中 udelay 依然产生偏差，通常是因为被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打断了。此时需要在 I2C 关键传输函数前后加上 local_irq_save() 以关闭中断。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既然你提到了系统滴答定时器，你是想在 Linux 环境下优化现有的 bit-bang 驱动，还是在裸机开发中遇到了具体的时序偏移问题？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