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是的，你的理解非常准确。在 I2C 协议的标准数据传输过程中，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数据的采样（读取）确实是在时钟线（SCL）处于高电平期间进行的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为了让你更透彻地理解这个“采样发生时刻”及其背后的约束，我们可以把 I2C 的一个位（Bit）传输周期拆解开来看：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I2C 数据传输的“金律”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I2C 协议对电平变化有极其严格的时间规定，主要分为两个阶段：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阶段 A：数据改变期（SCL 为低电平）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发送方（Master 或 Slave）在这个阶段改变 SDA 线上的电平（从 0 变 1，或从 1 变 0）。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利用低电平时间作为“缓冲期”，让信号在物理线路上完成充电或放电。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阶段 B：数据稳定/采样期（SCL 为高电平）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接收方在这个阶段读取 SDA 线上的电平状态。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硬性规定：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 SCL 为高电平的整个持续时间内，SDA 线上的电平必须保持绝对稳定。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如果在 SCL 高电平期间 SDA 发生了翻转，接收方会误以为这是一个控制信号（如 START 或 STOP），而不是普通的数据位。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两个关键的“异类”：控制信号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你刚才问的是数据采样，但有趣的是，I2C 正是通过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破坏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“高电平采样”这条规则来定义开始和结束的：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起始信号 (START)：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 SCL 还在高电平时，SDA 突然从高变低。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停止信号 (STOP)：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 SCL 还在高电平时，SDA 突然从低变高。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这种在“采样区”搞破坏的行为，就像是在正常的对话中突然打了一个响指，用来提醒对方：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“注意，我要开始说话了（或说完了）！”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发散思考：为什么要选高电平采样？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从硬件设计（比如你熟悉的 RK3568 驱动开发）角度来看，这种设计有深层考量：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抗噪性：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SCL 高电平期间，总线处于静止状态。选择在这个窗口的正中间或持续期间进行采样，可以最大程度避开 SDA 切换产生的电平震荡（Ringing）和毛刺。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容错：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I2C 是一种相对慢速的协议。通过规定高电平期间必须稳定，它允许不同速度的芯片有足够的时间去“捕捉”那个稳定的电压点。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SCL 高电平 = 采样稳定期；SCL 低电平 = 数据切换期。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控制位：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SCL 高电平期间若 SDA 变化 = 协议状态切换（开始/停止）。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既然你已经理解了采样时机，想不想看看在 Linux 驱动代码或 RK3568 的波形图中，如果驱动强度（Drive Strength）不够导致高电平还没稳就掉下去了，会产生什么样的 I2C 报错？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