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I2C 总线标准以及具体的芯片设计（如 Rockchip RK3568）中，SCL（Serial Clock）的设计遵循以下逻辑：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I2C 时钟信号是由谁产生的？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是的，时钟信号由主设备（Master）产生。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主动生成：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 I2C 通信中，Master 负责控制总线的节奏。它通过切换 SCL 线的高低电平来产生时钟脉冲。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从设备被动跟随：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Slave 设备根据 Master 产生的 SCL 边沿来采样数据（SDA）。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例外情况（Clock Stretching）：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虽然时钟由 Master 产生，但如果 Slave 处理速度跟不上，它可以拉低 SCL 线来强制 Master 进入等待状态，这被称为“时钟拉伸”，但这属于流控，而非产生时钟源。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RK3568 的 I2C 时钟源来自哪里？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RK3568 这种复杂的 SoC 中，I2C 的时钟源并不是直接由晶振提供的，而是经过了多级分频和转换：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层级路径：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外部晶振 (24MHz)：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这是整个系统的基准源。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PLL (锁相环)：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SoC 内部的 CPLL 或 GPLL 会将 24MHz 频率倍频到更高的频率（如数百 MHz 或 GHz）。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CRU (时钟控制单元)：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RK3568 的 CRU 模块会从 PLL 获取高频时钟，并对其进行第一次分频，产生一个针对 I2C 控制器的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核心时钟 (CLK_I2C)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RK3568 中，这个频率通常被设置为 100MHz 或 200MHz。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I2C 控制器内部寄存器：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最后，I2C 控制器内部的计数器（如 I2C_CLKDIV 寄存器）会再次对 CLK_I2C 进行分频，从而输出我们最终看到的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Standard (100kbps)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Fast (400kbps)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或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High-speed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时钟信号。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为什么不直接用晶振？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虽然晶振是源头，但直接使用晶振是不现实的：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频率匹配：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晶振通常是 24MHz，而 I2C 需要的是 100kHz 或 400kHz，需要巨大的分频系数。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功耗与灵活度：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通过 PLL 和 CRU，内核可以根据性能需求动态调整外设时钟，甚至在低功耗模式下关闭特定通道的时钟。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对于 RK3568 而言：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物理源头：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24MHz 外部晶振。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逻辑驱动：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由内部 PLL 倍频、CRU 分频后的时钟驱动 I2C 逻辑。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信号发出：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由 RK3568（作为 Master）的 I2C 控制器通过 GPIO 引脚产生并输出 SCL 信号。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你想了解如何在 RK3568 的设备树（DTS）中配置 I2C 的频率，还是想看看如何计算具体的寄存器分频值？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