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简单直接地回答你：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reg 属性描述的是物理地址（Physical Address）或单元地址（Unit Address），绝对不是虚拟地址（Virtual Address）。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在嵌入式开发和内核驱动领域，理解这一点至关重要。以下是详细的解析：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为什么是物理地址？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设备树（Device Tree）的本质是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硬件的静态描述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。它告诉内核：硬件设备在 SoC 的总线拓扑结构中处于什么位置。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物理地址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是硬件层面的真实存在（比如 CPU 访问内存总线时的地址）。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虚拟地址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是内核启动后，通过 MMU（内存管理单元）建立的映射。设备树在编写时，内核甚至还没运行，因此它无法也不应该包含虚拟地址。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reg 属性的构成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 通常成对出现，格式为 &lt;address length&gt;。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Address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设备寄存器块的起始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物理地址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Length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寄存器块的大小。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uart0: serial@101f1000 {</w:t>
        <w:br w:type="textWrapping"/>
        <w:t xml:space="preserve">    reg = &lt;0x101f1000 0x1000&gt;;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这里的 0x101f1000 就是 UART 控制器在芯片手册（Datasheet）中标注的物理基地址。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单元地址 (Unit Address)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你提到的“单元地址”其实是指节点名称中 @ 后面的部分（如上面例子中的 101f1000）。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规范要求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：如果节点有 reg 属性，那么节点的单元地址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 reg 属性中的第一个地址保持一致。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它的作用主要是为了在同一层级下区分同类设备（例如有多个 UART）。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物理地址如何变成虚拟地址？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 reg 里是物理地址，那么你在编写 Linux 驱动程序时，不能直接解引用这个地址（否则会触发 Segmentation fault 或 Kernel Panic）。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在驱动中，你需要通过以下流程完成转换：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内核解析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：内核启动时会解析 DTS，将 reg 里的物理信息提取出来。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映射转换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：驱动程序调用 ioremap() 或 devm_ioremap_resource() 函数。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结果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：MMU 会为该物理地址建立一个页表映射，返回一个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虚拟地址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（Virtual Address）。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访问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：驱动使用 readl() / writel() 等函数操作这个返回的虚拟地址，从而间接控制硬件。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总结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维度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设备树中的 reg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驱动程序中的变量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地址类型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物理地址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虚拟地址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确定时间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硬件设计/固件编写阶段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内核运行映射阶段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是否唯一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是（对应硬件总线位置）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否（由内核动态分配）</w:t>
            </w:r>
          </w:p>
        </w:tc>
      </w:tr>
    </w:tbl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所以，当你查阅 SoC 手册看到的那个寄存器基准地址，就是你应该写在 reg 里的值。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