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这份答案结合了你简历中提到的 </w:t>
      </w:r>
      <w:r w:rsidDel="00000000" w:rsidR="00000000" w:rsidRPr="00000000">
        <w:rPr>
          <w:b w:val="1"/>
          <w:bCs w:val="1"/>
          <w:rtl w:val="0"/>
        </w:rPr>
        <w:t xml:space="preserve">OMAP-L138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b w:val="1"/>
          <w:bCs w:val="1"/>
          <w:rtl w:val="0"/>
        </w:rPr>
        <w:t xml:space="preserve">Zynq-7100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</w:t>
      </w:r>
      <w:r w:rsidDel="00000000" w:rsidR="00000000" w:rsidRPr="00000000">
        <w:rPr>
          <w:b w:val="1"/>
          <w:bCs w:val="1"/>
          <w:rtl w:val="0"/>
        </w:rPr>
        <w:t xml:space="preserve">RK3568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平台的实际开发背景，旨在从底层原理出发，展现你在处理高频交互、异构多核和资源极度受限场景下的实战思考。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异构多核通信中的数据一致性保障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OMAP-L138 或 Zynq-7100 这种架构中，ARM 核开启了 MMU 和 L1/L2 Cache，而 DSP 或 FPGA 侧通常通过总线直接访问 DDR（类似 DMA 行为），这必然会导致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Cache 不一致性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核心解决方案：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软件管理一致性（Cache Maintenance）：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ARM 发送数据给 DSP：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ARM 写入数据后，必须执行 </w:t>
      </w:r>
      <w:r w:rsidDel="00000000" w:rsidR="00000000" w:rsidRPr="00000000">
        <w:rPr>
          <w:b w:val="1"/>
          <w:bCs w:val="1"/>
          <w:rtl w:val="0"/>
        </w:rPr>
        <w:t xml:space="preserve">Clean (Flush)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操作，将 Cache 中的脏数据强制推回到 DDR，确保 DSP 读取的是最新值。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ARM 接收来自 DSP 的数据：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在读取前，必须执行 </w:t>
      </w:r>
      <w:r w:rsidDel="00000000" w:rsidR="00000000" w:rsidRPr="00000000">
        <w:rPr>
          <w:b w:val="1"/>
          <w:bCs w:val="1"/>
          <w:rtl w:val="0"/>
        </w:rPr>
        <w:t xml:space="preserve">Invalidate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操作，使当前 Cache 行失效，强制从 DDR 重新加载 DSP 写入的数据。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硬件管理方案（Zynq ACP 接口）：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Zynq 平台上，如果使用 </w:t>
      </w:r>
      <w:r w:rsidDel="00000000" w:rsidR="00000000" w:rsidRPr="00000000">
        <w:rPr>
          <w:b w:val="1"/>
          <w:bCs w:val="1"/>
          <w:rtl w:val="0"/>
        </w:rPr>
        <w:t xml:space="preserve">ACP (Accelerator Coherency Port)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接口，FPGA 的访问可以经过 ARM 的 L2 Cache 监听控制单元（SCU），从而实现硬件级的自动一致性，无需软件手动干预 Cache。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性能优化策略：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对于 </w:t>
      </w:r>
      <w:r w:rsidDel="00000000" w:rsidR="00000000" w:rsidRPr="00000000">
        <w:rPr>
          <w:b w:val="1"/>
          <w:bCs w:val="1"/>
          <w:rtl w:val="0"/>
        </w:rPr>
        <w:t xml:space="preserve">1000Hz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的高频交互，频繁的 Cache 操作开销巨大。我通常采用 </w:t>
      </w:r>
      <w:r w:rsidDel="00000000" w:rsidR="00000000" w:rsidRPr="00000000">
        <w:rPr>
          <w:b w:val="1"/>
          <w:bCs w:val="1"/>
          <w:rtl w:val="0"/>
        </w:rPr>
        <w:t xml:space="preserve">dma_alloc_coherent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申请一段“不可缓冲（Non-cacheable）”的内存空间作为 Ring Buffer。虽然 CPU 访问稍慢，但省去了昂贵的 Cache 同步时间，总体吞吐量更高。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16 MB NorFlash 与受限内存的极致裁剪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针对 OMAP-L138 的 16 MB NorFlash 和 Zynq-7100 的 256 MB DDR 环境，裁剪策略需要“精准手术”。</w:t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裁剪实战：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U-Boot 深度瘦身：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禁用所有非核心命令（如 usb, net, nfs），仅保留 bootm 和关键 I/O 初始化。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启用 CONFIG_TINY_PRINTF 减小二进制体积。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内核（Kernel）裁剪：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模块剔除：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禁用 CONFIG_MODULES，将所有驱动静态编译入内核。剔除冗余文件系统支持（如 Ext4/NTFS），仅保留 </w:t>
      </w:r>
      <w:r w:rsidDel="00000000" w:rsidR="00000000" w:rsidRPr="00000000">
        <w:rPr>
          <w:b w:val="1"/>
          <w:bCs w:val="1"/>
          <w:rtl w:val="0"/>
        </w:rPr>
        <w:t xml:space="preserve">SquashFS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（高压缩只读）用于根文件系统。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移除调试符号：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关闭 CONFIG_DEBUG_INFO 和内核抢占追踪，显著降低 vmlinux 大小。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内存分配规划：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Device Tree 中通过 </w:t>
      </w:r>
      <w:r w:rsidDel="00000000" w:rsidR="00000000" w:rsidRPr="00000000">
        <w:rPr>
          <w:b w:val="1"/>
          <w:bCs w:val="1"/>
          <w:rtl w:val="0"/>
        </w:rPr>
        <w:t xml:space="preserve">reserved-memory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节点手动规划内存布局。例如，将高端 64 MB 内存完全从 Linux 管理中剥离，专门留给 DSP 运行算法镜像和 60 MB 的原始数据缓冲区，防止内核 OOM（内存溢出）影响核心算法。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LwIP 协议栈在高频（1000Hz）场景下的优化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1000Hz 数据流下，传统的“拷贝式”处理会导致系统死机或大量丢包。</w:t>
      </w:r>
    </w:p>
    <w:p w:rsidR="00000000" w:rsidDel="00000000" w:rsidP="00000000" w:rsidRDefault="00000000" w:rsidRPr="00000000" w14:paraId="0000001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优化路径：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零拷贝（Zero-copy）接收：</w:t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修改 MAC 驱动，使 DMA 直接将数据包存入 LwIP 的 </w:t>
      </w:r>
      <w:r w:rsidDel="00000000" w:rsidR="00000000" w:rsidRPr="00000000">
        <w:rPr>
          <w:b w:val="1"/>
          <w:bCs w:val="1"/>
          <w:rtl w:val="0"/>
        </w:rPr>
        <w:t xml:space="preserve">pbuf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中。应用层通过 pbuf-&gt;payload 指针直接读取数据，避免从内核空间到应用空间的物理拷贝。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内存池（PBUF Pool）调优：</w:t>
      </w:r>
    </w:p>
    <w:p w:rsidR="00000000" w:rsidDel="00000000" w:rsidP="00000000" w:rsidRDefault="00000000" w:rsidRPr="00000000" w14:paraId="0000001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增大 PBUF_POOL_SIZE 以应对瞬时突发流量。</w:t>
      </w:r>
    </w:p>
    <w:p w:rsidR="00000000" w:rsidDel="00000000" w:rsidP="00000000" w:rsidRDefault="00000000" w:rsidRPr="00000000" w14:paraId="0000001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针对 1000Hz 的固定长度采样包，自定义内存池 MEMP_NUM_RAW_PCB，将 pbuf 分配与算法处理周期对齐，降低内存碎片化。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中断下半部处理：</w:t>
      </w:r>
    </w:p>
    <w:p w:rsidR="00000000" w:rsidDel="00000000" w:rsidP="00000000" w:rsidRDefault="00000000" w:rsidRPr="00000000" w14:paraId="00000020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利用 FreeRTOS 的信号量机制，将网络包的解析从硬中断中移出，交给高优先级任务处理，确保系统不会因中断过于频繁而“饿死”低优先级任务。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Linux 5.10 新增系统调用（Syscall）的实现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RK3568 项目中，为了提供比 ioctl 更简洁、性能更优的算法控制接口，我选择了自定义系统调用。</w:t>
      </w:r>
    </w:p>
    <w:p w:rsidR="00000000" w:rsidDel="00000000" w:rsidP="00000000" w:rsidRDefault="00000000" w:rsidRPr="00000000" w14:paraId="0000002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实现步骤：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修改系统调用表：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 arch/arm64/kernel/syscall.tbl 中添加新编号及函数关联（如 __arm64_sys_radar_control）。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定义入口函数：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 kernel/sys.c 中使用 SYSCALL_DEFINE 宏定义函数。需要使用 copy_from_user 严格检查用户态传来的参数，确保内核安全。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动机解析：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相比 ioctl 需要解析复杂的命令码，Syscall 的路径更短（直接通过软中断 svc 进入），在需要纳秒级响应的控制指令下，这种开销减量在工业实时场景中非常关键。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AI 协同开发（Vibe Coding）的质量严控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虽然 AI 能极大地提升代码编写速度，但嵌入式底层的逻辑必须经过“人类审计”。</w:t>
      </w:r>
    </w:p>
    <w:p w:rsidR="00000000" w:rsidDel="00000000" w:rsidP="00000000" w:rsidRDefault="00000000" w:rsidRPr="00000000" w14:paraId="0000002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我的验证工作流：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提示词约束（Prompt Constraint）：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在生成驱动代码时，我会明确要求 AI 使用 volatile 修饰寄存器指针，并强制要求生成的代码符合 </w:t>
      </w:r>
      <w:r w:rsidDel="00000000" w:rsidR="00000000" w:rsidRPr="00000000">
        <w:rPr>
          <w:b w:val="1"/>
          <w:bCs w:val="1"/>
          <w:rtl w:val="0"/>
        </w:rPr>
        <w:t xml:space="preserve">MISRA 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安全标准。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逻辑对比验证：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利用 AI 编写 Python 测试脚本（简历中提到的仿真框架），与生成的 C 代码进行“对账”测试。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硬件标定：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最终逻辑必须通过简历中提到的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逻辑分析仪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进行时序标定。AI 可能知道 SPI 需要拉低 CS，但具体的 setup/hold time 必须根据 OMAPL138 数据手册手动在代码中微调。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总结：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这一套技术组合拳体现了你不仅会“写代码”，更懂得如何**“压榨”硬件极限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并确保系统的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高可靠性**。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你是否需要我针对其中某一个具体的代码片段（例如 LwIP 的零拷贝实现）给出更细致的伪代码示例？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