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商品经营异常诊断总体技术设计与开发实施方案</w:t>
      </w:r>
    </w:p>
    <w:p>
      <w:r>
        <w:t>日期：2026-09-21。状态：用户已确认 Django／DRF、PostgreSQL、Celery／Redis、LangGraph、React／TypeScript／Ant Design 主体架构迁移。自主调查及受控内部写入范围已确认；具体供应商、生产环境与完整工程验证仍按阶段完成。</w:t>
      </w:r>
    </w:p>
    <w:p>
      <w:r>
        <w:t>本文把 V2 需求转成可开发、可验收的系统设计，覆盖数据接入、指标计算、证据追溯和运营处理。采用模块化单体，业务接口与后台任务分进程运行，以关系数据库保存业务事实及版本。标准检查使用 Python 固定流程，自主调查使用 LangGraph，Celery 负责后台投递与执行，PostgreSQL 保存业务事实及图检查点；不采用 LangChain create_agent 上层循环。一次交付需求范围内的完整产品，工作包仅表示开发依赖，不表示分批产品版本。</w:t>
      </w:r>
    </w:p>
    <w:p>
      <w:r>
        <w:t>业务范围、默认阈值及验收以《阶段1_需求分析与MVP设计_V2.md》的最新正文为准。技术设计从需求独立推导，不以已有代码、目录结构、历史框架或模型选型为约束。部署条件与主体组件组合已确认。实施进度及实际验证以《开发阶段与验收计划.md》和《阶段验收记录.md》为准；设计能力不等于已实现能力。</w:t>
      </w:r>
    </w:p>
    <w:p>
      <w:pPr>
        <w:pStyle w:val="Heading1"/>
      </w:pPr>
      <w:r>
        <w:t>1 设计边界与待确认条件</w:t>
      </w:r>
    </w:p>
    <w:p>
      <w:r>
        <w:t>用户已确认采用单台云服务器，供 3–10 人通过浏览器使用，最多管理 1,000 个子 ASIN；本次保持报表导入并预留 API 接入扩展点。当前业务基线采用文件导入，不包含 Amazon API 自动同步、外部消息推送、ERP 写回或自动修改商品。系统可以提出核查建议、分派内部任务、导出报告，由运营在外部平台执行并回填结果。新增 API 同步应先确认授权、数据范围和验收变化，不能仅凭保留接口认定已经支持。</w:t>
      </w:r>
    </w:p>
    <w:p>
      <w:r>
        <w:t>按已确认规模，将需求中的对象容量从 100 个调整为最多 1,000 个子 ASIN，覆盖 3–10 名用户；保留 180 天数据、至少 10 万条反馈及交易记录、8 核 16 GB SSD 的验收配置，已有标注数据的一轮扫描不超过 15 分钟，缓存读取 P95 不超过 3 秒。SKU 展开后的分析对象数另行记录，不把 1,000 个 ASIN 当成最多 1,000 个 SKU。验收还需加入 10 名用户并发访问、100 万条记录的压力档位和首次批量标注测量；压力档位用于发现容量边界，正式支持的数据量与标注时限在真实报表规模和模型吞吐验证后确认，不能仅凭 ASIN 数保证性能。</w:t>
      </w:r>
    </w:p>
    <w:p>
      <w:r>
        <w:t>部署位置、人数、ASIN 上限和报表导入范围已经确认。上线前仍需确认模型服务与数据传输区域、实际 SKU 及记录规模、原始报表字段和覆盖范围。前两项影响容量及模型选型，最后一项通过样本契约验证解决。没有真实字段时明确缺口，不把预期字段写成平台保证。</w:t>
      </w:r>
    </w:p>
    <w:p>
      <w:pPr>
        <w:pStyle w:val="Heading1"/>
      </w:pPr>
      <w:r>
        <w:t>2 总体结构与模块职责</w:t>
      </w:r>
    </w:p>
    <w:p>
      <w:r>
        <w:t>业务主链为：文件接入 → 数据质量及映射审核 → 发布数据版本 → 指标与语义计算 → 异常及证据 → 报告 → 运营动作 → 到期复查。每个箭头都有任务状态、输入版本和错误记录；页面请求不串行等待整条链完成。</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1843"/>
        <w:gridCol w:w="4493"/>
        <w:gridCol w:w="3888"/>
      </w:tblGrid>
      <w:tr>
        <w:trPr>
          <w:cantSplit/>
          <w:tblHeader/>
        </w:trPr>
        <w:tc>
          <w:tcPr>
            <w:tcW w:type="dxa" w:w="1843"/>
            <w:vAlign w:val="center"/>
            <w:tcMar>
              <w:top w:w="80" w:type="dxa"/>
              <w:bottom w:w="80" w:type="dxa"/>
              <w:left w:w="90" w:type="dxa"/>
              <w:right w:w="90" w:type="dxa"/>
            </w:tcMar>
            <w:tcBorders>
              <w:bottom w:val="single" w:sz="4" w:color="D7DCE0"/>
            </w:tcBorders>
            <w:shd w:fill="EEF1F3"/>
          </w:tcPr>
          <w:p>
            <w:pPr>
              <w:keepNext/>
              <w:spacing w:after="0" w:line="276" w:lineRule="auto"/>
            </w:pPr>
            <w:r>
              <w:rPr>
                <w:b/>
                <w:sz w:val="20"/>
              </w:rPr>
              <w:t>模块</w:t>
            </w:r>
          </w:p>
        </w:tc>
        <w:tc>
          <w:tcPr>
            <w:tcW w:type="dxa" w:w="4493"/>
            <w:vAlign w:val="center"/>
            <w:tcMar>
              <w:top w:w="80" w:type="dxa"/>
              <w:bottom w:w="80" w:type="dxa"/>
              <w:left w:w="90" w:type="dxa"/>
              <w:right w:w="90" w:type="dxa"/>
            </w:tcMar>
            <w:tcBorders>
              <w:bottom w:val="single" w:sz="4" w:color="D7DCE0"/>
            </w:tcBorders>
            <w:shd w:fill="EEF1F3"/>
          </w:tcPr>
          <w:p>
            <w:pPr>
              <w:keepNext/>
              <w:spacing w:after="0" w:line="276" w:lineRule="auto"/>
            </w:pPr>
            <w:r>
              <w:rPr>
                <w:b/>
                <w:sz w:val="20"/>
              </w:rPr>
              <w:t>负责的内容</w:t>
            </w:r>
          </w:p>
        </w:tc>
        <w:tc>
          <w:tcPr>
            <w:tcW w:type="dxa" w:w="3888"/>
            <w:vAlign w:val="center"/>
            <w:tcMar>
              <w:top w:w="80" w:type="dxa"/>
              <w:bottom w:w="80" w:type="dxa"/>
              <w:left w:w="90" w:type="dxa"/>
              <w:right w:w="90" w:type="dxa"/>
            </w:tcMar>
            <w:tcBorders>
              <w:bottom w:val="single" w:sz="4" w:color="D7DCE0"/>
            </w:tcBorders>
            <w:shd w:fill="EEF1F3"/>
          </w:tcPr>
          <w:p>
            <w:pPr>
              <w:keepNext/>
              <w:spacing w:after="0" w:line="276" w:lineRule="auto"/>
            </w:pPr>
            <w:r>
              <w:rPr>
                <w:b/>
                <w:sz w:val="20"/>
              </w:rPr>
              <w:t>对外产物</w:t>
            </w:r>
          </w:p>
        </w:tc>
      </w:tr>
      <w:tr>
        <w:trPr>
          <w:cantSplit/>
        </w:trPr>
        <w:tc>
          <w:tcPr>
            <w:tcW w:type="dxa" w:w="1843"/>
            <w:vAlign w:val="center"/>
            <w:tcMar>
              <w:top w:w="80" w:type="dxa"/>
              <w:bottom w:w="80" w:type="dxa"/>
              <w:left w:w="90" w:type="dxa"/>
              <w:right w:w="90" w:type="dxa"/>
            </w:tcMar>
            <w:tcBorders>
              <w:bottom w:val="single" w:sz="4" w:color="D7DCE0"/>
            </w:tcBorders>
          </w:tcPr>
          <w:p>
            <w:pPr>
              <w:keepNext w:val="0"/>
              <w:spacing w:after="0" w:line="276" w:lineRule="auto"/>
            </w:pPr>
            <w:r>
              <w:rPr>
                <w:sz w:val="20"/>
              </w:rPr>
              <w:t>身份与商品</w:t>
            </w:r>
          </w:p>
        </w:tc>
        <w:tc>
          <w:tcPr>
            <w:tcW w:type="dxa" w:w="4493"/>
            <w:vAlign w:val="center"/>
            <w:tcMar>
              <w:top w:w="80" w:type="dxa"/>
              <w:bottom w:w="80" w:type="dxa"/>
              <w:left w:w="90" w:type="dxa"/>
              <w:right w:w="90" w:type="dxa"/>
            </w:tcMar>
            <w:tcBorders>
              <w:bottom w:val="single" w:sz="4" w:color="D7DCE0"/>
            </w:tcBorders>
          </w:tcPr>
          <w:p>
            <w:pPr>
              <w:keepNext w:val="0"/>
              <w:spacing w:after="0" w:line="276" w:lineRule="auto"/>
            </w:pPr>
            <w:r>
              <w:rPr>
                <w:sz w:val="20"/>
              </w:rPr>
              <w:t>用户、店铺权限、商品及历史映射、负责人</w:t>
            </w:r>
          </w:p>
        </w:tc>
        <w:tc>
          <w:tcPr>
            <w:tcW w:type="dxa" w:w="3888"/>
            <w:vAlign w:val="center"/>
            <w:tcMar>
              <w:top w:w="80" w:type="dxa"/>
              <w:bottom w:w="80" w:type="dxa"/>
              <w:left w:w="90" w:type="dxa"/>
              <w:right w:w="90" w:type="dxa"/>
            </w:tcMar>
            <w:tcBorders>
              <w:bottom w:val="single" w:sz="4" w:color="D7DCE0"/>
            </w:tcBorders>
          </w:tcPr>
          <w:p>
            <w:pPr>
              <w:keepNext w:val="0"/>
              <w:spacing w:after="0" w:line="276" w:lineRule="auto"/>
            </w:pPr>
            <w:r>
              <w:rPr>
                <w:sz w:val="20"/>
              </w:rPr>
              <w:t>授权范围、稳定分析对象 ID</w:t>
            </w:r>
          </w:p>
        </w:tc>
      </w:tr>
      <w:tr>
        <w:trPr>
          <w:cantSplit/>
        </w:trPr>
        <w:tc>
          <w:tcPr>
            <w:tcW w:type="dxa" w:w="1843"/>
            <w:vAlign w:val="center"/>
            <w:tcMar>
              <w:top w:w="80" w:type="dxa"/>
              <w:bottom w:w="80" w:type="dxa"/>
              <w:left w:w="90" w:type="dxa"/>
              <w:right w:w="90" w:type="dxa"/>
            </w:tcMar>
            <w:tcBorders>
              <w:bottom w:val="single" w:sz="4" w:color="D7DCE0"/>
            </w:tcBorders>
          </w:tcPr>
          <w:p>
            <w:pPr>
              <w:keepNext w:val="0"/>
              <w:spacing w:after="0" w:line="276" w:lineRule="auto"/>
            </w:pPr>
            <w:r>
              <w:rPr>
                <w:sz w:val="20"/>
              </w:rPr>
              <w:t>数据接入</w:t>
            </w:r>
          </w:p>
        </w:tc>
        <w:tc>
          <w:tcPr>
            <w:tcW w:type="dxa" w:w="4493"/>
            <w:vAlign w:val="center"/>
            <w:tcMar>
              <w:top w:w="80" w:type="dxa"/>
              <w:bottom w:w="80" w:type="dxa"/>
              <w:left w:w="90" w:type="dxa"/>
              <w:right w:w="90" w:type="dxa"/>
            </w:tcMar>
            <w:tcBorders>
              <w:bottom w:val="single" w:sz="4" w:color="D7DCE0"/>
            </w:tcBorders>
          </w:tcPr>
          <w:p>
            <w:pPr>
              <w:keepNext w:val="0"/>
              <w:spacing w:after="0" w:line="276" w:lineRule="auto"/>
            </w:pPr>
            <w:r>
              <w:rPr>
                <w:sz w:val="20"/>
              </w:rPr>
              <w:t>来源契约、文件、解析、预览、隔离、发布</w:t>
            </w:r>
          </w:p>
        </w:tc>
        <w:tc>
          <w:tcPr>
            <w:tcW w:type="dxa" w:w="3888"/>
            <w:vAlign w:val="center"/>
            <w:tcMar>
              <w:top w:w="80" w:type="dxa"/>
              <w:bottom w:w="80" w:type="dxa"/>
              <w:left w:w="90" w:type="dxa"/>
              <w:right w:w="90" w:type="dxa"/>
            </w:tcMar>
            <w:tcBorders>
              <w:bottom w:val="single" w:sz="4" w:color="D7DCE0"/>
            </w:tcBorders>
          </w:tcPr>
          <w:p>
            <w:pPr>
              <w:keepNext w:val="0"/>
              <w:spacing w:after="0" w:line="276" w:lineRule="auto"/>
            </w:pPr>
            <w:r>
              <w:rPr>
                <w:sz w:val="20"/>
              </w:rPr>
              <w:t>数据修订版、覆盖清单、导入错误</w:t>
            </w:r>
          </w:p>
        </w:tc>
      </w:tr>
      <w:tr>
        <w:trPr>
          <w:cantSplit/>
        </w:trPr>
        <w:tc>
          <w:tcPr>
            <w:tcW w:type="dxa" w:w="1843"/>
            <w:vAlign w:val="center"/>
            <w:tcMar>
              <w:top w:w="80" w:type="dxa"/>
              <w:bottom w:w="80" w:type="dxa"/>
              <w:left w:w="90" w:type="dxa"/>
              <w:right w:w="90" w:type="dxa"/>
            </w:tcMar>
            <w:tcBorders>
              <w:bottom w:val="single" w:sz="4" w:color="D7DCE0"/>
            </w:tcBorders>
          </w:tcPr>
          <w:p>
            <w:pPr>
              <w:keepNext w:val="0"/>
              <w:spacing w:after="0" w:line="276" w:lineRule="auto"/>
            </w:pPr>
            <w:r>
              <w:rPr>
                <w:sz w:val="20"/>
              </w:rPr>
              <w:t>指标与检测</w:t>
            </w:r>
          </w:p>
        </w:tc>
        <w:tc>
          <w:tcPr>
            <w:tcW w:type="dxa" w:w="4493"/>
            <w:vAlign w:val="center"/>
            <w:tcMar>
              <w:top w:w="80" w:type="dxa"/>
              <w:bottom w:w="80" w:type="dxa"/>
              <w:left w:w="90" w:type="dxa"/>
              <w:right w:w="90" w:type="dxa"/>
            </w:tcMar>
            <w:tcBorders>
              <w:bottom w:val="single" w:sz="4" w:color="D7DCE0"/>
            </w:tcBorders>
          </w:tcPr>
          <w:p>
            <w:pPr>
              <w:keepNext w:val="0"/>
              <w:spacing w:after="0" w:line="276" w:lineRule="auto"/>
            </w:pPr>
            <w:r>
              <w:rPr>
                <w:sz w:val="20"/>
              </w:rPr>
              <w:t>时间窗、分子分母、统计检验、规则触发</w:t>
            </w:r>
          </w:p>
        </w:tc>
        <w:tc>
          <w:tcPr>
            <w:tcW w:type="dxa" w:w="3888"/>
            <w:vAlign w:val="center"/>
            <w:tcMar>
              <w:top w:w="80" w:type="dxa"/>
              <w:bottom w:w="80" w:type="dxa"/>
              <w:left w:w="90" w:type="dxa"/>
              <w:right w:w="90" w:type="dxa"/>
            </w:tcMar>
            <w:tcBorders>
              <w:bottom w:val="single" w:sz="4" w:color="D7DCE0"/>
            </w:tcBorders>
          </w:tcPr>
          <w:p>
            <w:pPr>
              <w:keepNext w:val="0"/>
              <w:spacing w:after="0" w:line="276" w:lineRule="auto"/>
            </w:pPr>
            <w:r>
              <w:rPr>
                <w:sz w:val="20"/>
              </w:rPr>
              <w:t>指标快照、检测结果、规则版本</w:t>
            </w:r>
          </w:p>
        </w:tc>
      </w:tr>
      <w:tr>
        <w:trPr>
          <w:cantSplit/>
        </w:trPr>
        <w:tc>
          <w:tcPr>
            <w:tcW w:type="dxa" w:w="1843"/>
            <w:vAlign w:val="center"/>
            <w:tcMar>
              <w:top w:w="80" w:type="dxa"/>
              <w:bottom w:w="80" w:type="dxa"/>
              <w:left w:w="90" w:type="dxa"/>
              <w:right w:w="90" w:type="dxa"/>
            </w:tcMar>
            <w:tcBorders>
              <w:bottom w:val="single" w:sz="4" w:color="D7DCE0"/>
            </w:tcBorders>
          </w:tcPr>
          <w:p>
            <w:pPr>
              <w:keepNext w:val="0"/>
              <w:spacing w:after="0" w:line="276" w:lineRule="auto"/>
            </w:pPr>
            <w:r>
              <w:rPr>
                <w:sz w:val="20"/>
              </w:rPr>
              <w:t>语义与检索</w:t>
            </w:r>
          </w:p>
        </w:tc>
        <w:tc>
          <w:tcPr>
            <w:tcW w:type="dxa" w:w="4493"/>
            <w:vAlign w:val="center"/>
            <w:tcMar>
              <w:top w:w="80" w:type="dxa"/>
              <w:bottom w:w="80" w:type="dxa"/>
              <w:left w:w="90" w:type="dxa"/>
              <w:right w:w="90" w:type="dxa"/>
            </w:tcMar>
            <w:tcBorders>
              <w:bottom w:val="single" w:sz="4" w:color="D7DCE0"/>
            </w:tcBorders>
          </w:tcPr>
          <w:p>
            <w:pPr>
              <w:keepNext w:val="0"/>
              <w:spacing w:after="0" w:line="276" w:lineRule="auto"/>
            </w:pPr>
            <w:r>
              <w:rPr>
                <w:sz w:val="20"/>
              </w:rPr>
              <w:t>中英文标注、安全线索、原文检索</w:t>
            </w:r>
          </w:p>
        </w:tc>
        <w:tc>
          <w:tcPr>
            <w:tcW w:type="dxa" w:w="3888"/>
            <w:vAlign w:val="center"/>
            <w:tcMar>
              <w:top w:w="80" w:type="dxa"/>
              <w:bottom w:w="80" w:type="dxa"/>
              <w:left w:w="90" w:type="dxa"/>
              <w:right w:w="90" w:type="dxa"/>
            </w:tcMar>
            <w:tcBorders>
              <w:bottom w:val="single" w:sz="4" w:color="D7DCE0"/>
            </w:tcBorders>
          </w:tcPr>
          <w:p>
            <w:pPr>
              <w:keepNext w:val="0"/>
              <w:spacing w:after="0" w:line="276" w:lineRule="auto"/>
            </w:pPr>
            <w:r>
              <w:rPr>
                <w:sz w:val="20"/>
              </w:rPr>
              <w:t>带原文位置的标签与检索结果</w:t>
            </w:r>
          </w:p>
        </w:tc>
      </w:tr>
      <w:tr>
        <w:trPr>
          <w:cantSplit/>
        </w:trPr>
        <w:tc>
          <w:tcPr>
            <w:tcW w:type="dxa" w:w="1843"/>
            <w:vAlign w:val="center"/>
            <w:tcMar>
              <w:top w:w="80" w:type="dxa"/>
              <w:bottom w:w="80" w:type="dxa"/>
              <w:left w:w="90" w:type="dxa"/>
              <w:right w:w="90" w:type="dxa"/>
            </w:tcMar>
            <w:tcBorders>
              <w:bottom w:val="single" w:sz="4" w:color="D7DCE0"/>
            </w:tcBorders>
          </w:tcPr>
          <w:p>
            <w:pPr>
              <w:keepNext w:val="0"/>
              <w:spacing w:after="0" w:line="276" w:lineRule="auto"/>
            </w:pPr>
            <w:r>
              <w:rPr>
                <w:sz w:val="20"/>
              </w:rPr>
              <w:t>证据与报告</w:t>
            </w:r>
          </w:p>
        </w:tc>
        <w:tc>
          <w:tcPr>
            <w:tcW w:type="dxa" w:w="4493"/>
            <w:vAlign w:val="center"/>
            <w:tcMar>
              <w:top w:w="80" w:type="dxa"/>
              <w:bottom w:w="80" w:type="dxa"/>
              <w:left w:w="90" w:type="dxa"/>
              <w:right w:w="90" w:type="dxa"/>
            </w:tcMar>
            <w:tcBorders>
              <w:bottom w:val="single" w:sz="4" w:color="D7DCE0"/>
            </w:tcBorders>
          </w:tcPr>
          <w:p>
            <w:pPr>
              <w:keepNext w:val="0"/>
              <w:spacing w:after="0" w:line="276" w:lineRule="auto"/>
            </w:pPr>
            <w:r>
              <w:rPr>
                <w:sz w:val="20"/>
              </w:rPr>
              <w:t>事实、缺口、候选排序、表达校验</w:t>
            </w:r>
          </w:p>
        </w:tc>
        <w:tc>
          <w:tcPr>
            <w:tcW w:type="dxa" w:w="3888"/>
            <w:vAlign w:val="center"/>
            <w:tcMar>
              <w:top w:w="80" w:type="dxa"/>
              <w:bottom w:w="80" w:type="dxa"/>
              <w:left w:w="90" w:type="dxa"/>
              <w:right w:w="90" w:type="dxa"/>
            </w:tcMar>
            <w:tcBorders>
              <w:bottom w:val="single" w:sz="4" w:color="D7DCE0"/>
            </w:tcBorders>
          </w:tcPr>
          <w:p>
            <w:pPr>
              <w:keepNext w:val="0"/>
              <w:spacing w:after="0" w:line="276" w:lineRule="auto"/>
            </w:pPr>
            <w:r>
              <w:rPr>
                <w:sz w:val="20"/>
              </w:rPr>
              <w:t>不可变报告版本及引用关系</w:t>
            </w:r>
          </w:p>
        </w:tc>
      </w:tr>
      <w:tr>
        <w:trPr>
          <w:cantSplit/>
        </w:trPr>
        <w:tc>
          <w:tcPr>
            <w:tcW w:type="dxa" w:w="1843"/>
            <w:vAlign w:val="center"/>
            <w:tcMar>
              <w:top w:w="80" w:type="dxa"/>
              <w:bottom w:w="80" w:type="dxa"/>
              <w:left w:w="90" w:type="dxa"/>
              <w:right w:w="90" w:type="dxa"/>
            </w:tcMar>
            <w:tcBorders>
              <w:bottom w:val="single" w:sz="4" w:color="D7DCE0"/>
            </w:tcBorders>
          </w:tcPr>
          <w:p>
            <w:pPr>
              <w:keepNext w:val="0"/>
              <w:spacing w:after="0" w:line="276" w:lineRule="auto"/>
            </w:pPr>
            <w:r>
              <w:rPr>
                <w:sz w:val="20"/>
              </w:rPr>
              <w:t>运营处理</w:t>
            </w:r>
          </w:p>
        </w:tc>
        <w:tc>
          <w:tcPr>
            <w:tcW w:type="dxa" w:w="4493"/>
            <w:vAlign w:val="center"/>
            <w:tcMar>
              <w:top w:w="80" w:type="dxa"/>
              <w:bottom w:w="80" w:type="dxa"/>
              <w:left w:w="90" w:type="dxa"/>
              <w:right w:w="90" w:type="dxa"/>
            </w:tcMar>
            <w:tcBorders>
              <w:bottom w:val="single" w:sz="4" w:color="D7DCE0"/>
            </w:tcBorders>
          </w:tcPr>
          <w:p>
            <w:pPr>
              <w:keepNext w:val="0"/>
              <w:spacing w:after="0" w:line="276" w:lineRule="auto"/>
            </w:pPr>
            <w:r>
              <w:rPr>
                <w:sz w:val="20"/>
              </w:rPr>
              <w:t>事件聚合、指派、动作、复查、关闭</w:t>
            </w:r>
          </w:p>
        </w:tc>
        <w:tc>
          <w:tcPr>
            <w:tcW w:type="dxa" w:w="3888"/>
            <w:vAlign w:val="center"/>
            <w:tcMar>
              <w:top w:w="80" w:type="dxa"/>
              <w:bottom w:w="80" w:type="dxa"/>
              <w:left w:w="90" w:type="dxa"/>
              <w:right w:w="90" w:type="dxa"/>
            </w:tcMar>
            <w:tcBorders>
              <w:bottom w:val="single" w:sz="4" w:color="D7DCE0"/>
            </w:tcBorders>
          </w:tcPr>
          <w:p>
            <w:pPr>
              <w:keepNext w:val="0"/>
              <w:spacing w:after="0" w:line="276" w:lineRule="auto"/>
            </w:pPr>
            <w:r>
              <w:rPr>
                <w:sz w:val="20"/>
              </w:rPr>
              <w:t>当前事件状态、处理历史、站内提醒</w:t>
            </w:r>
          </w:p>
        </w:tc>
      </w:tr>
      <w:tr>
        <w:trPr>
          <w:cantSplit/>
        </w:trPr>
        <w:tc>
          <w:tcPr>
            <w:tcW w:type="dxa" w:w="1843"/>
            <w:vAlign w:val="center"/>
            <w:tcMar>
              <w:top w:w="80" w:type="dxa"/>
              <w:bottom w:w="80" w:type="dxa"/>
              <w:left w:w="90" w:type="dxa"/>
              <w:right w:w="90" w:type="dxa"/>
            </w:tcMar>
            <w:tcBorders>
              <w:bottom w:val="single" w:sz="4" w:color="D7DCE0"/>
            </w:tcBorders>
          </w:tcPr>
          <w:p>
            <w:pPr>
              <w:keepNext w:val="0"/>
              <w:spacing w:after="0" w:line="276" w:lineRule="auto"/>
            </w:pPr>
            <w:r>
              <w:rPr>
                <w:sz w:val="20"/>
              </w:rPr>
              <w:t>任务与运行</w:t>
            </w:r>
          </w:p>
        </w:tc>
        <w:tc>
          <w:tcPr>
            <w:tcW w:type="dxa" w:w="4493"/>
            <w:vAlign w:val="center"/>
            <w:tcMar>
              <w:top w:w="80" w:type="dxa"/>
              <w:bottom w:w="80" w:type="dxa"/>
              <w:left w:w="90" w:type="dxa"/>
              <w:right w:w="90" w:type="dxa"/>
            </w:tcMar>
            <w:tcBorders>
              <w:bottom w:val="single" w:sz="4" w:color="D7DCE0"/>
            </w:tcBorders>
          </w:tcPr>
          <w:p>
            <w:pPr>
              <w:keepNext w:val="0"/>
              <w:spacing w:after="0" w:line="276" w:lineRule="auto"/>
            </w:pPr>
            <w:r>
              <w:rPr>
                <w:sz w:val="20"/>
              </w:rPr>
              <w:t>调度、重试、审计、导出、备份</w:t>
            </w:r>
          </w:p>
        </w:tc>
        <w:tc>
          <w:tcPr>
            <w:tcW w:type="dxa" w:w="3888"/>
            <w:vAlign w:val="center"/>
            <w:tcMar>
              <w:top w:w="80" w:type="dxa"/>
              <w:bottom w:w="80" w:type="dxa"/>
              <w:left w:w="90" w:type="dxa"/>
              <w:right w:w="90" w:type="dxa"/>
            </w:tcMar>
            <w:tcBorders>
              <w:bottom w:val="single" w:sz="4" w:color="D7DCE0"/>
            </w:tcBorders>
          </w:tcPr>
          <w:p>
            <w:pPr>
              <w:keepNext w:val="0"/>
              <w:spacing w:after="0" w:line="276" w:lineRule="auto"/>
            </w:pPr>
            <w:r>
              <w:rPr>
                <w:sz w:val="20"/>
              </w:rPr>
              <w:t>任务台账、运行状态、恢复记录</w:t>
            </w:r>
          </w:p>
        </w:tc>
      </w:tr>
    </w:tbl>
    <w:p>
      <w:pPr>
        <w:spacing w:after="20" w:before="0" w:line="240" w:lineRule="auto"/>
      </w:pPr>
      <w:r>
        <w:rPr>
          <w:sz w:val="4"/>
        </w:rPr>
      </w:r>
    </w:p>
    <w:p>
      <w:r>
        <w:t>这些是同一后端中的明确业务边界，不拆成独立微服务。只有所属模块能写入其业务表，其他模块通过服务接口读取或提交命令。采用同一数据库便于把发布、审计和任务投递记录放在同一事务中。</w:t>
      </w:r>
    </w:p>
    <w:p>
      <w:r>
        <w:t>部署由浏览器、同源 Web 入口、业务 API、后台工作进程、单实例调度器、关系数据库、任务消息组件和文件持久存储组成。Web 与工作进程共用领域逻辑，工作进程不能绕过权限或自行改变业务口径。数据库是业务状态依据，消息队列和缓存均可重建。</w:t>
      </w:r>
    </w:p>
    <w:p>
      <w:pPr>
        <w:pStyle w:val="Heading1"/>
      </w:pPr>
      <w:r>
        <w:t>3 数据怎么进来</w:t>
      </w:r>
    </w:p>
    <w:p>
      <w:pPr>
        <w:pStyle w:val="Heading2"/>
      </w:pPr>
      <w:r>
        <w:t>3.1 来源契约先于导入适配器</w:t>
      </w:r>
    </w:p>
    <w:p>
      <w:r>
        <w:t>每一种报表有独立契约，至少包含来源、报表类型、店铺站点、原生粒度、字段及类型、业务主键、时区、币种、税费口径、日期含义、覆盖范围、全量快照或增量语义、修订规则和映射版本。契约附一份脱敏真实样本与字段解释，测试样本不能证明实际平台一定提供该字段。</w:t>
      </w:r>
    </w:p>
    <w:p>
      <w:r>
        <w:t>日销售流量、订单发货、退款、退货、库存可售、评论、页面星级、经营事件分别建契约。辅助来源可缺失，但必须显示缺口及影响。单独导入百分比而没有分子分母，只能展示该来源的值；无法还原历史状态的库存快照不回填历史可售天数。</w:t>
      </w:r>
    </w:p>
    <w:p>
      <w:r>
        <w:t>同一业务字段存在 Amazon 和 ERP 等多个来源时，配置按店铺、对象、日期及指标生效的权威来源规则。不直接相加重复业务数据；冲突保留差异供核查。更换权威来源生成配置版本并触发受影响范围重算。</w:t>
      </w:r>
    </w:p>
    <w:p>
      <w:r>
        <w:t>API 扩展点统一为 SourceAdapter：描述契约、发现批次、产出原始资料及覆盖清单。文件适配器本次实现；未来 API 适配器同样走暂存、校验、发布和版本追溯，不另写一套计算。预留接口不包括凭据授权、限流重试、自动同步或平台数据可得性的交付承诺。云服务器目录导入指服务器上已授权目录或挂载目录，浏览器不会自动读取运营电脑文件夹；个人电脑文件通过上传接入。</w:t>
      </w:r>
    </w:p>
    <w:p>
      <w:pPr>
        <w:pStyle w:val="Heading2"/>
      </w:pPr>
      <w:r>
        <w:t>3.2 导入发布流程</w:t>
      </w:r>
    </w:p>
    <w:p>
      <w:pPr>
        <w:pStyle w:val="ListBullet"/>
      </w:pPr>
      <w:r>
        <w:t>接收：上传 CSV 或从已授权目录接收稳定文件。目录监听只读；连续两次检查大小及修改时间稳定后才读取，不处理正在写入的文件。限制大小、编码、列数与路径范围，禁止任意服务器路径读取。</w:t>
      </w:r>
    </w:p>
    <w:p>
      <w:pPr>
        <w:pStyle w:val="ListBullet"/>
      </w:pPr>
      <w:r>
        <w:t>固化：计算文件哈希，保存不可变原始文件和来源元数据。客户端提供的哈希仅供参考，以服务端计算为准。同来源及授权范围内重复文件返回原批次，不创建重复事实。</w:t>
      </w:r>
    </w:p>
    <w:p>
      <w:pPr>
        <w:pStyle w:val="ListBullet"/>
      </w:pPr>
      <w:r>
        <w:t>解析：按契约分块解析到暂存区，保留原始行号、原始值、标准化值、错误码。解析进度支持中断续跑。</w:t>
      </w:r>
    </w:p>
    <w:p>
      <w:pPr>
        <w:pStyle w:val="ListBullet"/>
      </w:pPr>
      <w:r>
        <w:t>校验：检查主键、数据类型、时间范围、对象映射、重复冲突及覆盖声明；展示预计新增、修订、重复、隔离数量和受影响日期。</w:t>
      </w:r>
    </w:p>
    <w:p>
      <w:pPr>
        <w:pStyle w:val="ListBullet"/>
      </w:pPr>
      <w:r>
        <w:t>确认：首次来源或映射变更必须预览确认。已确认契约的后续目录文件可自动发布；未知列含义、粒度变化或严重质量错误进入待处理状态。</w:t>
      </w:r>
    </w:p>
    <w:p>
      <w:pPr>
        <w:pStyle w:val="ListBullet"/>
      </w:pPr>
      <w:r>
        <w:t>发布：按来源、授权范围和覆盖分区，在事务内激活通过验证的修订、写入覆盖清单及任务投递记录。整批严重错误不发布；允许的行级隔离必须把受影响分区标成 partial，不能保留完整标记。</w:t>
      </w:r>
    </w:p>
    <w:p>
      <w:pPr>
        <w:pStyle w:val="ListBullet"/>
      </w:pPr>
      <w:r>
        <w:t>后处理：异步计算指标、标注新增文本、刷新事件。用户可离开页面，任务状态独立保存。</w:t>
      </w:r>
    </w:p>
    <w:p>
      <w:r>
        <w:t>发布失败不能出现一半新数据与一半旧数据被计算的情况。原始文件先写入并校验成功，再提交数据库引用；未被引用的临时文件定期清理。文件写入与数据库不是一个跨系统事务，不把二者假装成原子操作。</w:t>
      </w:r>
    </w:p>
    <w:p>
      <w:pPr>
        <w:pStyle w:val="Heading2"/>
      </w:pPr>
      <w:r>
        <w:t>3.3 身份与去重规则</w:t>
      </w:r>
    </w:p>
    <w:p>
      <w:r>
        <w:t>业务分析对象保存 workspace、shop、marketplace、child_asin、seller_sku、fulfillment 及有效期。ASIN 流量对象与 SKU 订单对象分别标识，native_grain 决定能否连接。父体映射按有效日期保存；历史报告使用当时映射，不能跟随今天的父体关系悄悄改写。</w:t>
      </w:r>
    </w:p>
    <w:p>
      <w:r>
        <w:t>优先使用平台稳定订单行、退款交易、退货申请、评论 ID。没有稳定 ID 时，只允许契约证明唯一的复合键；相同行仅在身份可确定时去重，不能凭“内容一样、时间相近”合并真实的两笔交易。无法判断的重复候选进入待核查，不参与需要唯一订单关系的质量率计算。</w:t>
      </w:r>
    </w:p>
    <w:p>
      <w:r>
        <w:t>file_hash 判断重复文件，business_key 判断同一业务记录，payload_hash 判断内容是否修订，三者用途分开。相同文件使用新映射重新处理属于新的处理尝试，保留旧结果，并经明确发布替换受影响版本，不重复累计。</w:t>
      </w:r>
    </w:p>
    <w:p>
      <w:r>
        <w:t>退款撤销、退货状态更新和订单更正保存新版本；下次文件没有某一行不等于删除。只有契约明确的删除指令或经确认的数据作废操作才能使记录失效。全量快照的替换范围必须明确到对象及日期，不越界覆盖其他来源。</w:t>
      </w:r>
    </w:p>
    <w:p>
      <w:pPr>
        <w:pStyle w:val="Heading2"/>
      </w:pPr>
      <w:r>
        <w:t>3.4 覆盖与质量状态</w:t>
      </w:r>
    </w:p>
    <w:p>
      <w:r>
        <w:t>覆盖记录包含 source_revision、日期区间、对象范围、应有及实有分区、完整声明来源、最大业务时间、生成时间和质量原因。ready、partial、stale、missing、invalid 是按数据域及对象计算的状态，不能给整个店铺统一贴一个“数据完整”标签。</w:t>
      </w:r>
    </w:p>
    <w:p>
      <w:r>
        <w:t>空文件、没有报错或“最新一行是昨天”均不能证明期间完整。交易型来源只有契约支持无记录代表零且覆盖已确认，才补零；否则留空。无法证明完整性的交易源不能支撑“没有退款”或成熟队列分母完整的断言。</w:t>
      </w:r>
    </w:p>
    <w:p>
      <w:r>
        <w:t>错误页提供可下载的行级错误清单，说明修复人及操作：补列、修映射、补期间、确认来源冲突或重新上传。禁止通过直接编辑统计结果修复来源问题。</w:t>
      </w:r>
    </w:p>
    <w:p>
      <w:pPr>
        <w:pStyle w:val="Heading1"/>
      </w:pPr>
      <w:r>
        <w:t>4 数据模型与版本边界</w:t>
      </w:r>
    </w:p>
    <w:p>
      <w:pPr>
        <w:pStyle w:val="Heading2"/>
      </w:pPr>
      <w:r>
        <w:t>4.1 核心实体</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1843"/>
        <w:gridCol w:w="4493"/>
        <w:gridCol w:w="3888"/>
      </w:tblGrid>
      <w:tr>
        <w:trPr>
          <w:cantSplit/>
          <w:tblHeader/>
        </w:trPr>
        <w:tc>
          <w:tcPr>
            <w:tcW w:type="dxa" w:w="1843"/>
            <w:vAlign w:val="center"/>
            <w:tcMar>
              <w:top w:w="80" w:type="dxa"/>
              <w:bottom w:w="80" w:type="dxa"/>
              <w:left w:w="90" w:type="dxa"/>
              <w:right w:w="90" w:type="dxa"/>
            </w:tcMar>
            <w:tcBorders>
              <w:bottom w:val="single" w:sz="4" w:color="D7DCE0"/>
            </w:tcBorders>
            <w:shd w:fill="EEF1F3"/>
          </w:tcPr>
          <w:p>
            <w:pPr>
              <w:keepNext/>
              <w:spacing w:after="0" w:line="276" w:lineRule="auto"/>
            </w:pPr>
            <w:r>
              <w:rPr>
                <w:b/>
                <w:sz w:val="20"/>
              </w:rPr>
              <w:t>实体组</w:t>
            </w:r>
          </w:p>
        </w:tc>
        <w:tc>
          <w:tcPr>
            <w:tcW w:type="dxa" w:w="4493"/>
            <w:vAlign w:val="center"/>
            <w:tcMar>
              <w:top w:w="80" w:type="dxa"/>
              <w:bottom w:w="80" w:type="dxa"/>
              <w:left w:w="90" w:type="dxa"/>
              <w:right w:w="90" w:type="dxa"/>
            </w:tcMar>
            <w:tcBorders>
              <w:bottom w:val="single" w:sz="4" w:color="D7DCE0"/>
            </w:tcBorders>
            <w:shd w:fill="EEF1F3"/>
          </w:tcPr>
          <w:p>
            <w:pPr>
              <w:keepNext/>
              <w:spacing w:after="0" w:line="276" w:lineRule="auto"/>
            </w:pPr>
            <w:r>
              <w:rPr>
                <w:b/>
                <w:sz w:val="20"/>
              </w:rPr>
              <w:t>关键字段或关系</w:t>
            </w:r>
          </w:p>
        </w:tc>
        <w:tc>
          <w:tcPr>
            <w:tcW w:type="dxa" w:w="3888"/>
            <w:vAlign w:val="center"/>
            <w:tcMar>
              <w:top w:w="80" w:type="dxa"/>
              <w:bottom w:w="80" w:type="dxa"/>
              <w:left w:w="90" w:type="dxa"/>
              <w:right w:w="90" w:type="dxa"/>
            </w:tcMar>
            <w:tcBorders>
              <w:bottom w:val="single" w:sz="4" w:color="D7DCE0"/>
            </w:tcBorders>
            <w:shd w:fill="EEF1F3"/>
          </w:tcPr>
          <w:p>
            <w:pPr>
              <w:keepNext/>
              <w:spacing w:after="0" w:line="276" w:lineRule="auto"/>
            </w:pPr>
            <w:r>
              <w:rPr>
                <w:b/>
                <w:sz w:val="20"/>
              </w:rPr>
              <w:t>不可破坏的约束</w:t>
            </w:r>
          </w:p>
        </w:tc>
      </w:tr>
      <w:tr>
        <w:trPr>
          <w:cantSplit/>
        </w:trPr>
        <w:tc>
          <w:tcPr>
            <w:tcW w:type="dxa" w:w="1843"/>
            <w:vAlign w:val="center"/>
            <w:tcMar>
              <w:top w:w="80" w:type="dxa"/>
              <w:bottom w:w="80" w:type="dxa"/>
              <w:left w:w="90" w:type="dxa"/>
              <w:right w:w="90" w:type="dxa"/>
            </w:tcMar>
            <w:tcBorders>
              <w:bottom w:val="single" w:sz="4" w:color="D7DCE0"/>
            </w:tcBorders>
          </w:tcPr>
          <w:p>
            <w:pPr>
              <w:keepNext w:val="0"/>
              <w:spacing w:after="0" w:line="276" w:lineRule="auto"/>
            </w:pPr>
            <w:r>
              <w:rPr>
                <w:sz w:val="20"/>
              </w:rPr>
              <w:t>来源与导入</w:t>
            </w:r>
          </w:p>
        </w:tc>
        <w:tc>
          <w:tcPr>
            <w:tcW w:type="dxa" w:w="4493"/>
            <w:vAlign w:val="center"/>
            <w:tcMar>
              <w:top w:w="80" w:type="dxa"/>
              <w:bottom w:w="80" w:type="dxa"/>
              <w:left w:w="90" w:type="dxa"/>
              <w:right w:w="90" w:type="dxa"/>
            </w:tcMar>
            <w:tcBorders>
              <w:bottom w:val="single" w:sz="4" w:color="D7DCE0"/>
            </w:tcBorders>
          </w:tcPr>
          <w:p>
            <w:pPr>
              <w:keepNext w:val="0"/>
              <w:spacing w:after="0" w:line="276" w:lineRule="auto"/>
            </w:pPr>
            <w:r>
              <w:rPr>
                <w:sz w:val="20"/>
              </w:rPr>
              <w:t>SourceContract、ImportBatch、RawFile、StagedRow、CoveragePartition</w:t>
            </w:r>
          </w:p>
        </w:tc>
        <w:tc>
          <w:tcPr>
            <w:tcW w:type="dxa" w:w="3888"/>
            <w:vAlign w:val="center"/>
            <w:tcMar>
              <w:top w:w="80" w:type="dxa"/>
              <w:bottom w:w="80" w:type="dxa"/>
              <w:left w:w="90" w:type="dxa"/>
              <w:right w:w="90" w:type="dxa"/>
            </w:tcMar>
            <w:tcBorders>
              <w:bottom w:val="single" w:sz="4" w:color="D7DCE0"/>
            </w:tcBorders>
          </w:tcPr>
          <w:p>
            <w:pPr>
              <w:keepNext w:val="0"/>
              <w:spacing w:after="0" w:line="276" w:lineRule="auto"/>
            </w:pPr>
            <w:r>
              <w:rPr>
                <w:sz w:val="20"/>
              </w:rPr>
              <w:t>原文件及行号可查，契约与处理尝试有版本</w:t>
            </w:r>
          </w:p>
        </w:tc>
      </w:tr>
      <w:tr>
        <w:trPr>
          <w:cantSplit/>
        </w:trPr>
        <w:tc>
          <w:tcPr>
            <w:tcW w:type="dxa" w:w="1843"/>
            <w:vAlign w:val="center"/>
            <w:tcMar>
              <w:top w:w="80" w:type="dxa"/>
              <w:bottom w:w="80" w:type="dxa"/>
              <w:left w:w="90" w:type="dxa"/>
              <w:right w:w="90" w:type="dxa"/>
            </w:tcMar>
            <w:tcBorders>
              <w:bottom w:val="single" w:sz="4" w:color="D7DCE0"/>
            </w:tcBorders>
          </w:tcPr>
          <w:p>
            <w:pPr>
              <w:keepNext w:val="0"/>
              <w:spacing w:after="0" w:line="276" w:lineRule="auto"/>
            </w:pPr>
            <w:r>
              <w:rPr>
                <w:sz w:val="20"/>
              </w:rPr>
              <w:t>商品与权限</w:t>
            </w:r>
          </w:p>
        </w:tc>
        <w:tc>
          <w:tcPr>
            <w:tcW w:type="dxa" w:w="4493"/>
            <w:vAlign w:val="center"/>
            <w:tcMar>
              <w:top w:w="80" w:type="dxa"/>
              <w:bottom w:w="80" w:type="dxa"/>
              <w:left w:w="90" w:type="dxa"/>
              <w:right w:w="90" w:type="dxa"/>
            </w:tcMar>
            <w:tcBorders>
              <w:bottom w:val="single" w:sz="4" w:color="D7DCE0"/>
            </w:tcBorders>
          </w:tcPr>
          <w:p>
            <w:pPr>
              <w:keepNext w:val="0"/>
              <w:spacing w:after="0" w:line="276" w:lineRule="auto"/>
            </w:pPr>
            <w:r>
              <w:rPr>
                <w:sz w:val="20"/>
              </w:rPr>
              <w:t>Shop、AnalysisObject、ProductMappingVersion、ScopeGrant</w:t>
            </w:r>
          </w:p>
        </w:tc>
        <w:tc>
          <w:tcPr>
            <w:tcW w:type="dxa" w:w="3888"/>
            <w:vAlign w:val="center"/>
            <w:tcMar>
              <w:top w:w="80" w:type="dxa"/>
              <w:bottom w:w="80" w:type="dxa"/>
              <w:left w:w="90" w:type="dxa"/>
              <w:right w:w="90" w:type="dxa"/>
            </w:tcMar>
            <w:tcBorders>
              <w:bottom w:val="single" w:sz="4" w:color="D7DCE0"/>
            </w:tcBorders>
          </w:tcPr>
          <w:p>
            <w:pPr>
              <w:keepNext w:val="0"/>
              <w:spacing w:after="0" w:line="276" w:lineRule="auto"/>
            </w:pPr>
            <w:r>
              <w:rPr>
                <w:sz w:val="20"/>
              </w:rPr>
              <w:t>店铺授权优先，映射有有效期</w:t>
            </w:r>
          </w:p>
        </w:tc>
      </w:tr>
      <w:tr>
        <w:trPr>
          <w:cantSplit/>
        </w:trPr>
        <w:tc>
          <w:tcPr>
            <w:tcW w:type="dxa" w:w="1843"/>
            <w:vAlign w:val="center"/>
            <w:tcMar>
              <w:top w:w="80" w:type="dxa"/>
              <w:bottom w:w="80" w:type="dxa"/>
              <w:left w:w="90" w:type="dxa"/>
              <w:right w:w="90" w:type="dxa"/>
            </w:tcMar>
            <w:tcBorders>
              <w:bottom w:val="single" w:sz="4" w:color="D7DCE0"/>
            </w:tcBorders>
          </w:tcPr>
          <w:p>
            <w:pPr>
              <w:keepNext w:val="0"/>
              <w:spacing w:after="0" w:line="276" w:lineRule="auto"/>
            </w:pPr>
            <w:r>
              <w:rPr>
                <w:sz w:val="20"/>
              </w:rPr>
              <w:t>经营事实</w:t>
            </w:r>
          </w:p>
        </w:tc>
        <w:tc>
          <w:tcPr>
            <w:tcW w:type="dxa" w:w="4493"/>
            <w:vAlign w:val="center"/>
            <w:tcMar>
              <w:top w:w="80" w:type="dxa"/>
              <w:bottom w:w="80" w:type="dxa"/>
              <w:left w:w="90" w:type="dxa"/>
              <w:right w:w="90" w:type="dxa"/>
            </w:tcMar>
            <w:tcBorders>
              <w:bottom w:val="single" w:sz="4" w:color="D7DCE0"/>
            </w:tcBorders>
          </w:tcPr>
          <w:p>
            <w:pPr>
              <w:keepNext w:val="0"/>
              <w:spacing w:after="0" w:line="276" w:lineRule="auto"/>
            </w:pPr>
            <w:r>
              <w:rPr>
                <w:sz w:val="20"/>
              </w:rPr>
              <w:t>SalesTrafficDaily、OrderLine、Shipment、RefundTransaction、ReturnLifecycle</w:t>
            </w:r>
          </w:p>
        </w:tc>
        <w:tc>
          <w:tcPr>
            <w:tcW w:type="dxa" w:w="3888"/>
            <w:vAlign w:val="center"/>
            <w:tcMar>
              <w:top w:w="80" w:type="dxa"/>
              <w:bottom w:w="80" w:type="dxa"/>
              <w:left w:w="90" w:type="dxa"/>
              <w:right w:w="90" w:type="dxa"/>
            </w:tcMar>
            <w:tcBorders>
              <w:bottom w:val="single" w:sz="4" w:color="D7DCE0"/>
            </w:tcBorders>
          </w:tcPr>
          <w:p>
            <w:pPr>
              <w:keepNext w:val="0"/>
              <w:spacing w:after="0" w:line="276" w:lineRule="auto"/>
            </w:pPr>
            <w:r>
              <w:rPr>
                <w:sz w:val="20"/>
              </w:rPr>
              <w:t>原生粒度保存，金额采用定点数，生命周期不重复计数</w:t>
            </w:r>
          </w:p>
        </w:tc>
      </w:tr>
      <w:tr>
        <w:trPr>
          <w:cantSplit/>
        </w:trPr>
        <w:tc>
          <w:tcPr>
            <w:tcW w:type="dxa" w:w="1843"/>
            <w:vAlign w:val="center"/>
            <w:tcMar>
              <w:top w:w="80" w:type="dxa"/>
              <w:bottom w:w="80" w:type="dxa"/>
              <w:left w:w="90" w:type="dxa"/>
              <w:right w:w="90" w:type="dxa"/>
            </w:tcMar>
            <w:tcBorders>
              <w:bottom w:val="single" w:sz="4" w:color="D7DCE0"/>
            </w:tcBorders>
          </w:tcPr>
          <w:p>
            <w:pPr>
              <w:keepNext w:val="0"/>
              <w:spacing w:after="0" w:line="276" w:lineRule="auto"/>
            </w:pPr>
            <w:r>
              <w:rPr>
                <w:sz w:val="20"/>
              </w:rPr>
              <w:t>辅助事实</w:t>
            </w:r>
          </w:p>
        </w:tc>
        <w:tc>
          <w:tcPr>
            <w:tcW w:type="dxa" w:w="4493"/>
            <w:vAlign w:val="center"/>
            <w:tcMar>
              <w:top w:w="80" w:type="dxa"/>
              <w:bottom w:w="80" w:type="dxa"/>
              <w:left w:w="90" w:type="dxa"/>
              <w:right w:w="90" w:type="dxa"/>
            </w:tcMar>
            <w:tcBorders>
              <w:bottom w:val="single" w:sz="4" w:color="D7DCE0"/>
            </w:tcBorders>
          </w:tcPr>
          <w:p>
            <w:pPr>
              <w:keepNext w:val="0"/>
              <w:spacing w:after="0" w:line="276" w:lineRule="auto"/>
            </w:pPr>
            <w:r>
              <w:rPr>
                <w:sz w:val="20"/>
              </w:rPr>
              <w:t>StockSnapshot、PriceEvent、Review、RatingSnapshot、SupportCase、OperationEvent</w:t>
            </w:r>
          </w:p>
        </w:tc>
        <w:tc>
          <w:tcPr>
            <w:tcW w:type="dxa" w:w="3888"/>
            <w:vAlign w:val="center"/>
            <w:tcMar>
              <w:top w:w="80" w:type="dxa"/>
              <w:bottom w:w="80" w:type="dxa"/>
              <w:left w:w="90" w:type="dxa"/>
              <w:right w:w="90" w:type="dxa"/>
            </w:tcMar>
            <w:tcBorders>
              <w:bottom w:val="single" w:sz="4" w:color="D7DCE0"/>
            </w:tcBorders>
          </w:tcPr>
          <w:p>
            <w:pPr>
              <w:keepNext w:val="0"/>
              <w:spacing w:after="0" w:line="276" w:lineRule="auto"/>
            </w:pPr>
            <w:r>
              <w:rPr>
                <w:sz w:val="20"/>
              </w:rPr>
              <w:t>采集时间与业务时间分开，评论与星级分开</w:t>
            </w:r>
          </w:p>
        </w:tc>
      </w:tr>
      <w:tr>
        <w:trPr>
          <w:cantSplit/>
        </w:trPr>
        <w:tc>
          <w:tcPr>
            <w:tcW w:type="dxa" w:w="1843"/>
            <w:vAlign w:val="center"/>
            <w:tcMar>
              <w:top w:w="80" w:type="dxa"/>
              <w:bottom w:w="80" w:type="dxa"/>
              <w:left w:w="90" w:type="dxa"/>
              <w:right w:w="90" w:type="dxa"/>
            </w:tcMar>
            <w:tcBorders>
              <w:bottom w:val="single" w:sz="4" w:color="D7DCE0"/>
            </w:tcBorders>
          </w:tcPr>
          <w:p>
            <w:pPr>
              <w:keepNext w:val="0"/>
              <w:spacing w:after="0" w:line="276" w:lineRule="auto"/>
            </w:pPr>
            <w:r>
              <w:rPr>
                <w:sz w:val="20"/>
              </w:rPr>
              <w:t>修订及计算</w:t>
            </w:r>
          </w:p>
        </w:tc>
        <w:tc>
          <w:tcPr>
            <w:tcW w:type="dxa" w:w="4493"/>
            <w:vAlign w:val="center"/>
            <w:tcMar>
              <w:top w:w="80" w:type="dxa"/>
              <w:bottom w:w="80" w:type="dxa"/>
              <w:left w:w="90" w:type="dxa"/>
              <w:right w:w="90" w:type="dxa"/>
            </w:tcMar>
            <w:tcBorders>
              <w:bottom w:val="single" w:sz="4" w:color="D7DCE0"/>
            </w:tcBorders>
          </w:tcPr>
          <w:p>
            <w:pPr>
              <w:keepNext w:val="0"/>
              <w:spacing w:after="0" w:line="276" w:lineRule="auto"/>
            </w:pPr>
            <w:r>
              <w:rPr>
                <w:sz w:val="20"/>
              </w:rPr>
              <w:t>RecordRevision、DatasetRevision、CalculationRun、MetricSnapshot</w:t>
            </w:r>
          </w:p>
        </w:tc>
        <w:tc>
          <w:tcPr>
            <w:tcW w:type="dxa" w:w="3888"/>
            <w:vAlign w:val="center"/>
            <w:tcMar>
              <w:top w:w="80" w:type="dxa"/>
              <w:bottom w:w="80" w:type="dxa"/>
              <w:left w:w="90" w:type="dxa"/>
              <w:right w:w="90" w:type="dxa"/>
            </w:tcMar>
            <w:tcBorders>
              <w:bottom w:val="single" w:sz="4" w:color="D7DCE0"/>
            </w:tcBorders>
          </w:tcPr>
          <w:p>
            <w:pPr>
              <w:keepNext w:val="0"/>
              <w:spacing w:after="0" w:line="276" w:lineRule="auto"/>
            </w:pPr>
            <w:r>
              <w:rPr>
                <w:sz w:val="20"/>
              </w:rPr>
              <w:t>原记录版本不覆盖，运行固定输入清单</w:t>
            </w:r>
          </w:p>
        </w:tc>
      </w:tr>
      <w:tr>
        <w:trPr>
          <w:cantSplit/>
        </w:trPr>
        <w:tc>
          <w:tcPr>
            <w:tcW w:type="dxa" w:w="1843"/>
            <w:vAlign w:val="center"/>
            <w:tcMar>
              <w:top w:w="80" w:type="dxa"/>
              <w:bottom w:w="80" w:type="dxa"/>
              <w:left w:w="90" w:type="dxa"/>
              <w:right w:w="90" w:type="dxa"/>
            </w:tcMar>
            <w:tcBorders>
              <w:bottom w:val="single" w:sz="4" w:color="D7DCE0"/>
            </w:tcBorders>
          </w:tcPr>
          <w:p>
            <w:pPr>
              <w:keepNext w:val="0"/>
              <w:spacing w:after="0" w:line="276" w:lineRule="auto"/>
            </w:pPr>
            <w:r>
              <w:rPr>
                <w:sz w:val="20"/>
              </w:rPr>
              <w:t>语义与证据</w:t>
            </w:r>
          </w:p>
        </w:tc>
        <w:tc>
          <w:tcPr>
            <w:tcW w:type="dxa" w:w="4493"/>
            <w:vAlign w:val="center"/>
            <w:tcMar>
              <w:top w:w="80" w:type="dxa"/>
              <w:bottom w:w="80" w:type="dxa"/>
              <w:left w:w="90" w:type="dxa"/>
              <w:right w:w="90" w:type="dxa"/>
            </w:tcMar>
            <w:tcBorders>
              <w:bottom w:val="single" w:sz="4" w:color="D7DCE0"/>
            </w:tcBorders>
          </w:tcPr>
          <w:p>
            <w:pPr>
              <w:keepNext w:val="0"/>
              <w:spacing w:after="0" w:line="276" w:lineRule="auto"/>
            </w:pPr>
            <w:r>
              <w:rPr>
                <w:sz w:val="20"/>
              </w:rPr>
              <w:t>AnnotationVersion、EvidenceFact、EvidenceMembership、MissingSignal</w:t>
            </w:r>
          </w:p>
        </w:tc>
        <w:tc>
          <w:tcPr>
            <w:tcW w:type="dxa" w:w="3888"/>
            <w:vAlign w:val="center"/>
            <w:tcMar>
              <w:top w:w="80" w:type="dxa"/>
              <w:bottom w:w="80" w:type="dxa"/>
              <w:left w:w="90" w:type="dxa"/>
              <w:right w:w="90" w:type="dxa"/>
            </w:tcMar>
            <w:tcBorders>
              <w:bottom w:val="single" w:sz="4" w:color="D7DCE0"/>
            </w:tcBorders>
          </w:tcPr>
          <w:p>
            <w:pPr>
              <w:keepNext w:val="0"/>
              <w:spacing w:after="0" w:line="276" w:lineRule="auto"/>
            </w:pPr>
            <w:r>
              <w:rPr>
                <w:sz w:val="20"/>
              </w:rPr>
              <w:t>标签引用原文，聚合引用完整成员或可复现成员清单</w:t>
            </w:r>
          </w:p>
        </w:tc>
      </w:tr>
      <w:tr>
        <w:trPr>
          <w:cantSplit/>
        </w:trPr>
        <w:tc>
          <w:tcPr>
            <w:tcW w:type="dxa" w:w="1843"/>
            <w:vAlign w:val="center"/>
            <w:tcMar>
              <w:top w:w="80" w:type="dxa"/>
              <w:bottom w:w="80" w:type="dxa"/>
              <w:left w:w="90" w:type="dxa"/>
              <w:right w:w="90" w:type="dxa"/>
            </w:tcMar>
            <w:tcBorders>
              <w:bottom w:val="single" w:sz="4" w:color="D7DCE0"/>
            </w:tcBorders>
          </w:tcPr>
          <w:p>
            <w:pPr>
              <w:keepNext w:val="0"/>
              <w:spacing w:after="0" w:line="276" w:lineRule="auto"/>
            </w:pPr>
            <w:r>
              <w:rPr>
                <w:sz w:val="20"/>
              </w:rPr>
              <w:t>运营实体</w:t>
            </w:r>
          </w:p>
        </w:tc>
        <w:tc>
          <w:tcPr>
            <w:tcW w:type="dxa" w:w="4493"/>
            <w:vAlign w:val="center"/>
            <w:tcMar>
              <w:top w:w="80" w:type="dxa"/>
              <w:bottom w:w="80" w:type="dxa"/>
              <w:left w:w="90" w:type="dxa"/>
              <w:right w:w="90" w:type="dxa"/>
            </w:tcMar>
            <w:tcBorders>
              <w:bottom w:val="single" w:sz="4" w:color="D7DCE0"/>
            </w:tcBorders>
          </w:tcPr>
          <w:p>
            <w:pPr>
              <w:keepNext w:val="0"/>
              <w:spacing w:after="0" w:line="276" w:lineRule="auto"/>
            </w:pPr>
            <w:r>
              <w:rPr>
                <w:sz w:val="20"/>
              </w:rPr>
              <w:t>Incident、Detection、ReportVersion、Action、ReviewTask、Notification</w:t>
            </w:r>
          </w:p>
        </w:tc>
        <w:tc>
          <w:tcPr>
            <w:tcW w:type="dxa" w:w="3888"/>
            <w:vAlign w:val="center"/>
            <w:tcMar>
              <w:top w:w="80" w:type="dxa"/>
              <w:bottom w:w="80" w:type="dxa"/>
              <w:left w:w="90" w:type="dxa"/>
              <w:right w:w="90" w:type="dxa"/>
            </w:tcMar>
            <w:tcBorders>
              <w:bottom w:val="single" w:sz="4" w:color="D7DCE0"/>
            </w:tcBorders>
          </w:tcPr>
          <w:p>
            <w:pPr>
              <w:keepNext w:val="0"/>
              <w:spacing w:after="0" w:line="276" w:lineRule="auto"/>
            </w:pPr>
            <w:r>
              <w:rPr>
                <w:sz w:val="20"/>
              </w:rPr>
              <w:t>报告不可变，事件状态与动作状态独立</w:t>
            </w:r>
          </w:p>
        </w:tc>
      </w:tr>
      <w:tr>
        <w:trPr>
          <w:cantSplit/>
        </w:trPr>
        <w:tc>
          <w:tcPr>
            <w:tcW w:type="dxa" w:w="1843"/>
            <w:vAlign w:val="center"/>
            <w:tcMar>
              <w:top w:w="80" w:type="dxa"/>
              <w:bottom w:w="80" w:type="dxa"/>
              <w:left w:w="90" w:type="dxa"/>
              <w:right w:w="90" w:type="dxa"/>
            </w:tcMar>
            <w:tcBorders>
              <w:bottom w:val="single" w:sz="4" w:color="D7DCE0"/>
            </w:tcBorders>
          </w:tcPr>
          <w:p>
            <w:pPr>
              <w:keepNext w:val="0"/>
              <w:spacing w:after="0" w:line="276" w:lineRule="auto"/>
            </w:pPr>
            <w:r>
              <w:rPr>
                <w:sz w:val="20"/>
              </w:rPr>
              <w:t>运行与审计</w:t>
            </w:r>
          </w:p>
        </w:tc>
        <w:tc>
          <w:tcPr>
            <w:tcW w:type="dxa" w:w="4493"/>
            <w:vAlign w:val="center"/>
            <w:tcMar>
              <w:top w:w="80" w:type="dxa"/>
              <w:bottom w:w="80" w:type="dxa"/>
              <w:left w:w="90" w:type="dxa"/>
              <w:right w:w="90" w:type="dxa"/>
            </w:tcMar>
            <w:tcBorders>
              <w:bottom w:val="single" w:sz="4" w:color="D7DCE0"/>
            </w:tcBorders>
          </w:tcPr>
          <w:p>
            <w:pPr>
              <w:keepNext w:val="0"/>
              <w:spacing w:after="0" w:line="276" w:lineRule="auto"/>
            </w:pPr>
            <w:r>
              <w:rPr>
                <w:sz w:val="20"/>
              </w:rPr>
              <w:t>Job、Outbox、AuditEntry、ExportArtifact</w:t>
            </w:r>
          </w:p>
        </w:tc>
        <w:tc>
          <w:tcPr>
            <w:tcW w:type="dxa" w:w="3888"/>
            <w:vAlign w:val="center"/>
            <w:tcMar>
              <w:top w:w="80" w:type="dxa"/>
              <w:bottom w:w="80" w:type="dxa"/>
              <w:left w:w="90" w:type="dxa"/>
              <w:right w:w="90" w:type="dxa"/>
            </w:tcMar>
            <w:tcBorders>
              <w:bottom w:val="single" w:sz="4" w:color="D7DCE0"/>
            </w:tcBorders>
          </w:tcPr>
          <w:p>
            <w:pPr>
              <w:keepNext w:val="0"/>
              <w:spacing w:after="0" w:line="276" w:lineRule="auto"/>
            </w:pPr>
            <w:r>
              <w:rPr>
                <w:sz w:val="20"/>
              </w:rPr>
              <w:t>幂等键唯一，业务变更可追溯</w:t>
            </w:r>
          </w:p>
        </w:tc>
      </w:tr>
    </w:tbl>
    <w:p>
      <w:pPr>
        <w:spacing w:after="20" w:before="0" w:line="240" w:lineRule="auto"/>
      </w:pPr>
      <w:r>
        <w:rPr>
          <w:sz w:val="4"/>
        </w:rPr>
      </w:r>
    </w:p>
    <w:p>
      <w:r>
        <w:t>主事实表采用明确列与约束；来源扩展字段可以保存在结构化扩展列，不能把整个业务模型做成无法校验的大 JSON。所有面向业务的表带 workspace 和适用的 shop 标识；跨店铺汇总必须显式获准。金额保留原币种，不以浮点数计算，也不把不同币种直接求和。</w:t>
      </w:r>
    </w:p>
    <w:p>
      <w:pPr>
        <w:pStyle w:val="Heading2"/>
      </w:pPr>
      <w:r>
        <w:t>4.2 一次计算读取一个稳定版本</w:t>
      </w:r>
    </w:p>
    <w:p>
      <w:r>
        <w:t>数据版本由来源修订向量、商品映射版本、权威来源配置和规范化版本构成。运行启动时确定该清单；整个运行读取清单指向的记录版本，不在执行到一半时换成新导入的数据。记录同时保留业务发生时间和系统知道该事实的时间，支持回答“当时依据什么”和“现在修订成什么”。</w:t>
      </w:r>
    </w:p>
    <w:p>
      <w:r>
        <w:t>CalculationRun 保存输入版本、对象范围、窗口、有效截止日、算法与规则版本、统计方法、语义标注版本、代码构建标识、运行状态及摘要哈希。大量明细使用数据库关联表或压缩成员清单，不塞进报告正文。</w:t>
      </w:r>
    </w:p>
    <w:p>
      <w:r>
        <w:t>默认回补最近 90 天的受影响计算，但依赖追踪必须覆盖这些输入影响的成熟队列和复查任务，不能只按报告日期机械截断。更早的数据修订明确提示需人工发起历史重算。重算产生新报告，旧报告标成已被修订并链接后继，不删除旧动作或伪装成当时就已知。</w:t>
      </w:r>
    </w:p>
    <w:p>
      <w:pPr>
        <w:pStyle w:val="Heading1"/>
      </w:pPr>
      <w:r>
        <w:t>5 数据怎么算</w:t>
      </w:r>
    </w:p>
    <w:p>
      <w:pPr>
        <w:pStyle w:val="Heading2"/>
      </w:pPr>
      <w:r>
        <w:t>5.1 时间及窗口</w:t>
      </w:r>
    </w:p>
    <w:p>
      <w:r>
        <w:t>所有时间戳存储为 UTC 并保留来源时区；按站点时区计算业务日期，调度按工作区时区。日期窗使用左闭右开的本地日界限再转为 UTC，跨夏令时不能把一天硬编码为 24 小时。</w:t>
      </w:r>
    </w:p>
    <w:p>
      <w:r>
        <w:t>每项规则先取必需来源共同覆盖的最后完整日 D，再选择窗口。并非所有规则共用一个 D；缺退款数据不应阻塞销量规则，但每项结果展示自己的截止日。普通扫描排除当天未完成数据，安全反馈通过独立快速通道处理。</w:t>
      </w:r>
    </w:p>
    <w:p>
      <w:r>
        <w:t>经营窗口为 D 前含 D 的 7 个完整日，对照紧邻之前 28 日；计数比较日均。评论当前 28 日与之前 28 日，低样本时同时扩到 56 日，仍不足则只描述样本。成熟订单窗口按 30 日观察期和来源完整性选择最近 28 个已成熟发货日及之前 28 日，窗口边界算法需用固定日期测试覆盖。</w:t>
      </w:r>
    </w:p>
    <w:p>
      <w:pPr>
        <w:pStyle w:val="Heading2"/>
      </w:pPr>
      <w:r>
        <w:t>5.2 指标流水线</w:t>
      </w:r>
    </w:p>
    <w:p>
      <w:r>
        <w:t>顺序固定为：授权对象 → 原生粒度校验 → 来源及覆盖 → 窗口 → 去重关联 → 分子分母 → 指标 → 统计区间 → 规则判定 → 事实生成。每一步记录排除数量及原因；不能先算比率，再补充一个笼统的数据质量提示。</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1843"/>
        <w:gridCol w:w="4493"/>
        <w:gridCol w:w="3888"/>
      </w:tblGrid>
      <w:tr>
        <w:trPr>
          <w:cantSplit/>
          <w:tblHeader/>
        </w:trPr>
        <w:tc>
          <w:tcPr>
            <w:tcW w:type="dxa" w:w="1843"/>
            <w:vAlign w:val="center"/>
            <w:tcMar>
              <w:top w:w="80" w:type="dxa"/>
              <w:bottom w:w="80" w:type="dxa"/>
              <w:left w:w="90" w:type="dxa"/>
              <w:right w:w="90" w:type="dxa"/>
            </w:tcMar>
            <w:tcBorders>
              <w:bottom w:val="single" w:sz="4" w:color="D7DCE0"/>
            </w:tcBorders>
            <w:shd w:fill="EEF1F3"/>
          </w:tcPr>
          <w:p>
            <w:pPr>
              <w:keepNext/>
              <w:spacing w:after="0" w:line="276" w:lineRule="auto"/>
            </w:pPr>
            <w:r>
              <w:rPr>
                <w:b/>
                <w:sz w:val="20"/>
              </w:rPr>
              <w:t>指标</w:t>
            </w:r>
          </w:p>
        </w:tc>
        <w:tc>
          <w:tcPr>
            <w:tcW w:type="dxa" w:w="4493"/>
            <w:vAlign w:val="center"/>
            <w:tcMar>
              <w:top w:w="80" w:type="dxa"/>
              <w:bottom w:w="80" w:type="dxa"/>
              <w:left w:w="90" w:type="dxa"/>
              <w:right w:w="90" w:type="dxa"/>
            </w:tcMar>
            <w:tcBorders>
              <w:bottom w:val="single" w:sz="4" w:color="D7DCE0"/>
            </w:tcBorders>
            <w:shd w:fill="EEF1F3"/>
          </w:tcPr>
          <w:p>
            <w:pPr>
              <w:keepNext/>
              <w:spacing w:after="0" w:line="276" w:lineRule="auto"/>
            </w:pPr>
            <w:r>
              <w:rPr>
                <w:b/>
                <w:sz w:val="20"/>
              </w:rPr>
              <w:t>计算和展示</w:t>
            </w:r>
          </w:p>
        </w:tc>
        <w:tc>
          <w:tcPr>
            <w:tcW w:type="dxa" w:w="3888"/>
            <w:vAlign w:val="center"/>
            <w:tcMar>
              <w:top w:w="80" w:type="dxa"/>
              <w:bottom w:w="80" w:type="dxa"/>
              <w:left w:w="90" w:type="dxa"/>
              <w:right w:w="90" w:type="dxa"/>
            </w:tcMar>
            <w:tcBorders>
              <w:bottom w:val="single" w:sz="4" w:color="D7DCE0"/>
            </w:tcBorders>
            <w:shd w:fill="EEF1F3"/>
          </w:tcPr>
          <w:p>
            <w:pPr>
              <w:keepNext/>
              <w:spacing w:after="0" w:line="276" w:lineRule="auto"/>
            </w:pPr>
            <w:r>
              <w:rPr>
                <w:b/>
                <w:sz w:val="20"/>
              </w:rPr>
              <w:t>停止计算或降级条件</w:t>
            </w:r>
          </w:p>
        </w:tc>
      </w:tr>
      <w:tr>
        <w:trPr>
          <w:cantSplit/>
        </w:trPr>
        <w:tc>
          <w:tcPr>
            <w:tcW w:type="dxa" w:w="1843"/>
            <w:vAlign w:val="center"/>
            <w:tcMar>
              <w:top w:w="80" w:type="dxa"/>
              <w:bottom w:w="80" w:type="dxa"/>
              <w:left w:w="90" w:type="dxa"/>
              <w:right w:w="90" w:type="dxa"/>
            </w:tcMar>
            <w:tcBorders>
              <w:bottom w:val="single" w:sz="4" w:color="D7DCE0"/>
            </w:tcBorders>
          </w:tcPr>
          <w:p>
            <w:pPr>
              <w:keepNext w:val="0"/>
              <w:spacing w:after="0" w:line="276" w:lineRule="auto"/>
            </w:pPr>
            <w:r>
              <w:rPr>
                <w:sz w:val="20"/>
              </w:rPr>
              <w:t>销量及流量变化</w:t>
            </w:r>
          </w:p>
        </w:tc>
        <w:tc>
          <w:tcPr>
            <w:tcW w:type="dxa" w:w="4493"/>
            <w:vAlign w:val="center"/>
            <w:tcMar>
              <w:top w:w="80" w:type="dxa"/>
              <w:bottom w:w="80" w:type="dxa"/>
              <w:left w:w="90" w:type="dxa"/>
              <w:right w:w="90" w:type="dxa"/>
            </w:tcMar>
            <w:tcBorders>
              <w:bottom w:val="single" w:sz="4" w:color="D7DCE0"/>
            </w:tcBorders>
          </w:tcPr>
          <w:p>
            <w:pPr>
              <w:keepNext w:val="0"/>
              <w:spacing w:after="0" w:line="276" w:lineRule="auto"/>
            </w:pPr>
            <w:r>
              <w:rPr>
                <w:sz w:val="20"/>
              </w:rPr>
              <w:t>当前日均与基准日均比较，同时显示绝对差和原始总量</w:t>
            </w:r>
          </w:p>
        </w:tc>
        <w:tc>
          <w:tcPr>
            <w:tcW w:type="dxa" w:w="3888"/>
            <w:vAlign w:val="center"/>
            <w:tcMar>
              <w:top w:w="80" w:type="dxa"/>
              <w:bottom w:w="80" w:type="dxa"/>
              <w:left w:w="90" w:type="dxa"/>
              <w:right w:w="90" w:type="dxa"/>
            </w:tcMar>
            <w:tcBorders>
              <w:bottom w:val="single" w:sz="4" w:color="D7DCE0"/>
            </w:tcBorders>
          </w:tcPr>
          <w:p>
            <w:pPr>
              <w:keepNext w:val="0"/>
              <w:spacing w:after="0" w:line="276" w:lineRule="auto"/>
            </w:pPr>
            <w:r>
              <w:rPr>
                <w:sz w:val="20"/>
              </w:rPr>
              <w:t>基准为零只显示新增量；缺日不补成零</w:t>
            </w:r>
          </w:p>
        </w:tc>
      </w:tr>
      <w:tr>
        <w:trPr>
          <w:cantSplit/>
        </w:trPr>
        <w:tc>
          <w:tcPr>
            <w:tcW w:type="dxa" w:w="1843"/>
            <w:vAlign w:val="center"/>
            <w:tcMar>
              <w:top w:w="80" w:type="dxa"/>
              <w:bottom w:w="80" w:type="dxa"/>
              <w:left w:w="90" w:type="dxa"/>
              <w:right w:w="90" w:type="dxa"/>
            </w:tcMar>
            <w:tcBorders>
              <w:bottom w:val="single" w:sz="4" w:color="D7DCE0"/>
            </w:tcBorders>
          </w:tcPr>
          <w:p>
            <w:pPr>
              <w:keepNext w:val="0"/>
              <w:spacing w:after="0" w:line="276" w:lineRule="auto"/>
            </w:pPr>
            <w:r>
              <w:rPr>
                <w:sz w:val="20"/>
              </w:rPr>
              <w:t>Unit Session Percentage</w:t>
            </w:r>
          </w:p>
        </w:tc>
        <w:tc>
          <w:tcPr>
            <w:tcW w:type="dxa" w:w="4493"/>
            <w:vAlign w:val="center"/>
            <w:tcMar>
              <w:top w:w="80" w:type="dxa"/>
              <w:bottom w:w="80" w:type="dxa"/>
              <w:left w:w="90" w:type="dxa"/>
              <w:right w:w="90" w:type="dxa"/>
            </w:tcMar>
            <w:tcBorders>
              <w:bottom w:val="single" w:sz="4" w:color="D7DCE0"/>
            </w:tcBorders>
          </w:tcPr>
          <w:p>
            <w:pPr>
              <w:keepNext w:val="0"/>
              <w:spacing w:after="0" w:line="276" w:lineRule="auto"/>
            </w:pPr>
            <w:r>
              <w:rPr>
                <w:sz w:val="20"/>
              </w:rPr>
              <w:t>同一 ASIN 及范围的 ordered units / sessions × 100</w:t>
            </w:r>
          </w:p>
        </w:tc>
        <w:tc>
          <w:tcPr>
            <w:tcW w:type="dxa" w:w="3888"/>
            <w:vAlign w:val="center"/>
            <w:tcMar>
              <w:top w:w="80" w:type="dxa"/>
              <w:bottom w:w="80" w:type="dxa"/>
              <w:left w:w="90" w:type="dxa"/>
              <w:right w:w="90" w:type="dxa"/>
            </w:tcMar>
            <w:tcBorders>
              <w:bottom w:val="single" w:sz="4" w:color="D7DCE0"/>
            </w:tcBorders>
          </w:tcPr>
          <w:p>
            <w:pPr>
              <w:keepNext w:val="0"/>
              <w:spacing w:after="0" w:line="276" w:lineRule="auto"/>
            </w:pPr>
            <w:r>
              <w:rPr>
                <w:sz w:val="20"/>
              </w:rPr>
              <w:t>不向 SKU 分摊 Sessions；可大于 100%，不用二项区间</w:t>
            </w:r>
          </w:p>
        </w:tc>
      </w:tr>
      <w:tr>
        <w:trPr>
          <w:cantSplit/>
        </w:trPr>
        <w:tc>
          <w:tcPr>
            <w:tcW w:type="dxa" w:w="1843"/>
            <w:vAlign w:val="center"/>
            <w:tcMar>
              <w:top w:w="80" w:type="dxa"/>
              <w:bottom w:w="80" w:type="dxa"/>
              <w:left w:w="90" w:type="dxa"/>
              <w:right w:w="90" w:type="dxa"/>
            </w:tcMar>
            <w:tcBorders>
              <w:bottom w:val="single" w:sz="4" w:color="D7DCE0"/>
            </w:tcBorders>
          </w:tcPr>
          <w:p>
            <w:pPr>
              <w:keepNext w:val="0"/>
              <w:spacing w:after="0" w:line="276" w:lineRule="auto"/>
            </w:pPr>
            <w:r>
              <w:rPr>
                <w:sz w:val="20"/>
              </w:rPr>
              <w:t>退款及退货发生量</w:t>
            </w:r>
          </w:p>
        </w:tc>
        <w:tc>
          <w:tcPr>
            <w:tcW w:type="dxa" w:w="4493"/>
            <w:vAlign w:val="center"/>
            <w:tcMar>
              <w:top w:w="80" w:type="dxa"/>
              <w:bottom w:w="80" w:type="dxa"/>
              <w:left w:w="90" w:type="dxa"/>
              <w:right w:w="90" w:type="dxa"/>
            </w:tcMar>
            <w:tcBorders>
              <w:bottom w:val="single" w:sz="4" w:color="D7DCE0"/>
            </w:tcBorders>
          </w:tcPr>
          <w:p>
            <w:pPr>
              <w:keepNext w:val="0"/>
              <w:spacing w:after="0" w:line="276" w:lineRule="auto"/>
            </w:pPr>
            <w:r>
              <w:rPr>
                <w:sz w:val="20"/>
              </w:rPr>
              <w:t>按发生时间统计去重事件、有效退款金额</w:t>
            </w:r>
          </w:p>
        </w:tc>
        <w:tc>
          <w:tcPr>
            <w:tcW w:type="dxa" w:w="3888"/>
            <w:vAlign w:val="center"/>
            <w:tcMar>
              <w:top w:w="80" w:type="dxa"/>
              <w:bottom w:w="80" w:type="dxa"/>
              <w:left w:w="90" w:type="dxa"/>
              <w:right w:w="90" w:type="dxa"/>
            </w:tcMar>
            <w:tcBorders>
              <w:bottom w:val="single" w:sz="4" w:color="D7DCE0"/>
            </w:tcBorders>
          </w:tcPr>
          <w:p>
            <w:pPr>
              <w:keepNext w:val="0"/>
              <w:spacing w:after="0" w:line="276" w:lineRule="auto"/>
            </w:pPr>
            <w:r>
              <w:rPr>
                <w:sz w:val="20"/>
              </w:rPr>
              <w:t>不除以同期销量冒充产品质量率</w:t>
            </w:r>
          </w:p>
        </w:tc>
      </w:tr>
      <w:tr>
        <w:trPr>
          <w:cantSplit/>
        </w:trPr>
        <w:tc>
          <w:tcPr>
            <w:tcW w:type="dxa" w:w="1843"/>
            <w:vAlign w:val="center"/>
            <w:tcMar>
              <w:top w:w="80" w:type="dxa"/>
              <w:bottom w:w="80" w:type="dxa"/>
              <w:left w:w="90" w:type="dxa"/>
              <w:right w:w="90" w:type="dxa"/>
            </w:tcMar>
            <w:tcBorders>
              <w:bottom w:val="single" w:sz="4" w:color="D7DCE0"/>
            </w:tcBorders>
          </w:tcPr>
          <w:p>
            <w:pPr>
              <w:keepNext w:val="0"/>
              <w:spacing w:after="0" w:line="276" w:lineRule="auto"/>
            </w:pPr>
            <w:r>
              <w:rPr>
                <w:sz w:val="20"/>
              </w:rPr>
              <w:t>成熟订单质量率</w:t>
            </w:r>
          </w:p>
        </w:tc>
        <w:tc>
          <w:tcPr>
            <w:tcW w:type="dxa" w:w="4493"/>
            <w:vAlign w:val="center"/>
            <w:tcMar>
              <w:top w:w="80" w:type="dxa"/>
              <w:bottom w:w="80" w:type="dxa"/>
              <w:left w:w="90" w:type="dxa"/>
              <w:right w:w="90" w:type="dxa"/>
            </w:tcMar>
            <w:tcBorders>
              <w:bottom w:val="single" w:sz="4" w:color="D7DCE0"/>
            </w:tcBorders>
          </w:tcPr>
          <w:p>
            <w:pPr>
              <w:keepNext w:val="0"/>
              <w:spacing w:after="0" w:line="276" w:lineRule="auto"/>
            </w:pPr>
            <w:r>
              <w:rPr>
                <w:sz w:val="20"/>
              </w:rPr>
              <w:t>窗口内符合条件的受影响订单 / 完整可观察的成熟已发货订单</w:t>
            </w:r>
          </w:p>
        </w:tc>
        <w:tc>
          <w:tcPr>
            <w:tcW w:type="dxa" w:w="3888"/>
            <w:vAlign w:val="center"/>
            <w:tcMar>
              <w:top w:w="80" w:type="dxa"/>
              <w:bottom w:w="80" w:type="dxa"/>
              <w:left w:w="90" w:type="dxa"/>
              <w:right w:w="90" w:type="dxa"/>
            </w:tcMar>
            <w:tcBorders>
              <w:bottom w:val="single" w:sz="4" w:color="D7DCE0"/>
            </w:tcBorders>
          </w:tcPr>
          <w:p>
            <w:pPr>
              <w:keepNext w:val="0"/>
              <w:spacing w:after="0" w:line="276" w:lineRule="auto"/>
            </w:pPr>
            <w:r>
              <w:rPr>
                <w:sz w:val="20"/>
              </w:rPr>
              <w:t>缺订单关联或覆盖不完整时不输出权威质量率</w:t>
            </w:r>
          </w:p>
        </w:tc>
      </w:tr>
      <w:tr>
        <w:trPr>
          <w:cantSplit/>
        </w:trPr>
        <w:tc>
          <w:tcPr>
            <w:tcW w:type="dxa" w:w="1843"/>
            <w:vAlign w:val="center"/>
            <w:tcMar>
              <w:top w:w="80" w:type="dxa"/>
              <w:bottom w:w="80" w:type="dxa"/>
              <w:left w:w="90" w:type="dxa"/>
              <w:right w:w="90" w:type="dxa"/>
            </w:tcMar>
            <w:tcBorders>
              <w:bottom w:val="single" w:sz="4" w:color="D7DCE0"/>
            </w:tcBorders>
          </w:tcPr>
          <w:p>
            <w:pPr>
              <w:keepNext w:val="0"/>
              <w:spacing w:after="0" w:line="276" w:lineRule="auto"/>
            </w:pPr>
            <w:r>
              <w:rPr>
                <w:sz w:val="20"/>
              </w:rPr>
              <w:t>评论主题占比</w:t>
            </w:r>
          </w:p>
        </w:tc>
        <w:tc>
          <w:tcPr>
            <w:tcW w:type="dxa" w:w="4493"/>
            <w:vAlign w:val="center"/>
            <w:tcMar>
              <w:top w:w="80" w:type="dxa"/>
              <w:bottom w:w="80" w:type="dxa"/>
              <w:left w:w="90" w:type="dxa"/>
              <w:right w:w="90" w:type="dxa"/>
            </w:tcMar>
            <w:tcBorders>
              <w:bottom w:val="single" w:sz="4" w:color="D7DCE0"/>
            </w:tcBorders>
          </w:tcPr>
          <w:p>
            <w:pPr>
              <w:keepNext w:val="0"/>
              <w:spacing w:after="0" w:line="276" w:lineRule="auto"/>
            </w:pPr>
            <w:r>
              <w:rPr>
                <w:sz w:val="20"/>
              </w:rPr>
              <w:t>唯一负向或混合主题评论 / 已有效标注评论</w:t>
            </w:r>
          </w:p>
        </w:tc>
        <w:tc>
          <w:tcPr>
            <w:tcW w:type="dxa" w:w="3888"/>
            <w:vAlign w:val="center"/>
            <w:tcMar>
              <w:top w:w="80" w:type="dxa"/>
              <w:bottom w:w="80" w:type="dxa"/>
              <w:left w:w="90" w:type="dxa"/>
              <w:right w:w="90" w:type="dxa"/>
            </w:tcMar>
            <w:tcBorders>
              <w:bottom w:val="single" w:sz="4" w:color="D7DCE0"/>
            </w:tcBorders>
          </w:tcPr>
          <w:p>
            <w:pPr>
              <w:keepNext w:val="0"/>
              <w:spacing w:after="0" w:line="276" w:lineRule="auto"/>
            </w:pPr>
            <w:r>
              <w:rPr>
                <w:sz w:val="20"/>
              </w:rPr>
              <w:t>低覆盖不触发趋势；检索 top K 不作分母</w:t>
            </w:r>
          </w:p>
        </w:tc>
      </w:tr>
      <w:tr>
        <w:trPr>
          <w:cantSplit/>
        </w:trPr>
        <w:tc>
          <w:tcPr>
            <w:tcW w:type="dxa" w:w="1843"/>
            <w:vAlign w:val="center"/>
            <w:tcMar>
              <w:top w:w="80" w:type="dxa"/>
              <w:bottom w:w="80" w:type="dxa"/>
              <w:left w:w="90" w:type="dxa"/>
              <w:right w:w="90" w:type="dxa"/>
            </w:tcMar>
            <w:tcBorders>
              <w:bottom w:val="single" w:sz="4" w:color="D7DCE0"/>
            </w:tcBorders>
          </w:tcPr>
          <w:p>
            <w:pPr>
              <w:keepNext w:val="0"/>
              <w:spacing w:after="0" w:line="276" w:lineRule="auto"/>
            </w:pPr>
            <w:r>
              <w:rPr>
                <w:sz w:val="20"/>
              </w:rPr>
              <w:t>页面星级及可售状态</w:t>
            </w:r>
          </w:p>
        </w:tc>
        <w:tc>
          <w:tcPr>
            <w:tcW w:type="dxa" w:w="4493"/>
            <w:vAlign w:val="center"/>
            <w:tcMar>
              <w:top w:w="80" w:type="dxa"/>
              <w:bottom w:w="80" w:type="dxa"/>
              <w:left w:w="90" w:type="dxa"/>
              <w:right w:w="90" w:type="dxa"/>
            </w:tcMar>
            <w:tcBorders>
              <w:bottom w:val="single" w:sz="4" w:color="D7DCE0"/>
            </w:tcBorders>
          </w:tcPr>
          <w:p>
            <w:pPr>
              <w:keepNext w:val="0"/>
              <w:spacing w:after="0" w:line="276" w:lineRule="auto"/>
            </w:pPr>
            <w:r>
              <w:rPr>
                <w:sz w:val="20"/>
              </w:rPr>
              <w:t>比较来源快照与状态变化，保留快照时间</w:t>
            </w:r>
          </w:p>
        </w:tc>
        <w:tc>
          <w:tcPr>
            <w:tcW w:type="dxa" w:w="3888"/>
            <w:vAlign w:val="center"/>
            <w:tcMar>
              <w:top w:w="80" w:type="dxa"/>
              <w:bottom w:w="80" w:type="dxa"/>
              <w:left w:w="90" w:type="dxa"/>
              <w:right w:w="90" w:type="dxa"/>
            </w:tcMar>
            <w:tcBorders>
              <w:bottom w:val="single" w:sz="4" w:color="D7DCE0"/>
            </w:tcBorders>
          </w:tcPr>
          <w:p>
            <w:pPr>
              <w:keepNext w:val="0"/>
              <w:spacing w:after="0" w:line="276" w:lineRule="auto"/>
            </w:pPr>
            <w:r>
              <w:rPr>
                <w:sz w:val="20"/>
              </w:rPr>
              <w:t>无历史快照不补算；总库存不等于可售库存</w:t>
            </w:r>
          </w:p>
        </w:tc>
      </w:tr>
    </w:tbl>
    <w:p>
      <w:pPr>
        <w:spacing w:after="20" w:before="0" w:line="240" w:lineRule="auto"/>
      </w:pPr>
      <w:r>
        <w:rPr>
          <w:sz w:val="4"/>
        </w:rPr>
      </w:r>
    </w:p>
    <w:p>
      <w:r>
        <w:t>一个订单在某 SKU 有多行或多次退款，按分析对象内订单唯一键计数一次。汇总到 ASIN 或父体时从订单明细重新去重，不能把各 SKU 的订单数相加。同一订单包含不同对象可以分别进入各对象分母，但跨对象总计必须重新去重。</w:t>
      </w:r>
    </w:p>
    <w:p>
      <w:r>
        <w:t>队列归属使用该订单中该分析对象的首次发货时间。分批发货仍按已冻结的“订单口径”观察，不将未发货部分伪装成已发货数量。补发或换货订单只有可靠原订单关系才排除重复原始销售；关系缺失保留不确定性。</w:t>
      </w:r>
    </w:p>
    <w:p>
      <w:r>
        <w:t>退款在首次发货后的 30 日半开区间内发生，并截至计算快照按原退款链扣除撤销后净额大于零，才计入对应有效退款订单。观察窗外的新退款单独展示；对窗内退款的后续撤销会修订历史有效性。部分金额退款计一笔受影响订单，不能推断全部件数有质量问题。退货申请与收到退货按来源定义固定择一，不把两种状态各算一次。</w:t>
      </w:r>
    </w:p>
    <w:p>
      <w:r>
        <w:t>订单无法关联的售后记录单独显示发生量和缺口；不丢弃这些记录后声称总体质量率正常。只能在明确可证明完整的子范围计算，并显式标为该范围结果；默认全对象成熟率规则暂停。</w:t>
      </w:r>
    </w:p>
    <w:p>
      <w:pPr>
        <w:pStyle w:val="Heading2"/>
      </w:pPr>
      <w:r>
        <w:t>5.3 统计方法及结构变化</w:t>
      </w:r>
    </w:p>
    <w:p>
      <w:r>
        <w:t>规则阈值直接引用 V2 第 9 节，保存 rule_config_version；不在技术文档另建一套相近阈值。比率区间使用 Wilson 95%，两组独立二项比例差使用 Newcombe，主题多重检验采用 Fisher 双侧加 BH，检验族固定为同对象同轮扫描预定义的全部合格主题。不能只对显著主题再校正，也不能把重复扫描视为新增独立样本。</w:t>
      </w:r>
    </w:p>
    <w:p>
      <w:r>
        <w:t>同一买家、重复交易或重叠观察可能削弱独立假设，报告保留统计限制；显著差异只支持观察到变化，不支持原因已被证实。统计库方法与参数显式指定并用已知答案验算，不依赖随版本改变的默认值。</w:t>
      </w:r>
    </w:p>
    <w:p>
      <w:r>
        <w:t>父子体分析同时展示整体、子体和构成比例。若做结构分解，使用相同指标分母对应的权重：订单质量率用订单分母，销量份额不能代替订单权重。共同子体上的变化可分成权重变化和子体率变化，新进入、退出或缺数据的子体列为残余项；条件不满足时只并列展示，不能给出伪精确归因百分比。</w:t>
      </w:r>
    </w:p>
    <w:p>
      <w:pPr>
        <w:pStyle w:val="Heading2"/>
      </w:pPr>
      <w:r>
        <w:t>5.4 语义与安全计算</w:t>
      </w:r>
    </w:p>
    <w:p>
      <w:r>
        <w:t>离线标注按文本版本、标签体系、模型版本及提示版本唯一缓存。先识别语言，再输出受限标签、极性、原文片段及字符位置；片段必须能在原文中精确找到。无效输出进入重试或待核查，不把失败条目归为中性。趋势分母和标注覆盖率在同一文本版本集合上计算。</w:t>
      </w:r>
    </w:p>
    <w:p>
      <w:r>
        <w:t>检索支持对象、期间、主题、极性、语言和关键词组合。中英文分词、产品别名与明确短语匹配构成默认方案；短中文词不能只依赖英文全文索引。原文及证据位置保持不变，检索索引可重建。是否增加向量检索由冻结测试集的 Recall@10 决定，不把向量数据库设为产品前提。</w:t>
      </w:r>
    </w:p>
    <w:p>
      <w:r>
        <w:t>安全通道在导入可用文本后立即运行高召回词组、否定语境规则及语义核查，不等待全量扫描或评论覆盖达标。模型不可用时把疑似线索交人工，注明“尚未确认”，不能把规则匹配直接断言为真实事故。安全线索可先进入待核查事件，再关联完整报告；不自动下架、发信或发起平台操作。</w:t>
      </w:r>
    </w:p>
    <w:p>
      <w:pPr>
        <w:pStyle w:val="Heading1"/>
      </w:pPr>
      <w:r>
        <w:t>6 怎么追溯及如何约束报告</w:t>
      </w:r>
    </w:p>
    <w:p>
      <w:pPr>
        <w:pStyle w:val="Heading2"/>
      </w:pPr>
      <w:r>
        <w:t>6.1 引用链</w:t>
      </w:r>
    </w:p>
    <w:p>
      <w:r>
        <w:t>每条报告结论指向 EvidenceFact；事实指向 MetricSnapshot 或原文片段；指标指向 CalculationRun 和参与记录版本；记录版本指向来源契约、原文件及原始行号。用户从页面数字能逐层查看计算式、分子分母、排除记录及来源，不必阅读程序日志。</w:t>
      </w:r>
    </w:p>
    <w:p>
      <w:r>
        <w:t>例如“退款率为 6%”必须能展开为“12 / 200 个成熟订单”，列出这 12 个受影响订单、200 个分母订单、首次发货及退款时间、退款撤销处理方式、数据截止日和覆盖状态。若来源只给 6%，则显示“来源报表值”，不得伪造这两份订单清单。</w:t>
      </w:r>
    </w:p>
    <w:p>
      <w:r>
        <w:t>事实有统计、状态、文本、人工核查四类。人工核查保留提交者、时间、附件和判断范围；不是自动成为训练真值，也不能改写计算结果。缺失数据保存为 MissingSignal，包含阻塞的判断、所需来源、负责人和补齐后的重算入口。</w:t>
      </w:r>
    </w:p>
    <w:p>
      <w:pPr>
        <w:pStyle w:val="Heading2"/>
      </w:pPr>
      <w:r>
        <w:t>6.2 候选与确定性排序</w:t>
      </w:r>
    </w:p>
    <w:p>
      <w:r>
        <w:t>标准候选由场景规则枚举，分别记录支持、矛盾、缺口和待核查动作；LLM 不新增标准候选原因类型或更改次序；自主调查的新假设另存为探索线索。候选排序采用版本化的明确比较序列：人工已核实状态、对象及时间适配程度、所需来源完整程度、独立支持事实数量、未解决矛盾数量、稳定候选 ID。</w:t>
      </w:r>
    </w:p>
    <w:p>
      <w:r>
        <w:t>独立支持事实按来源经历或事实族去重，同一退款在报表、工单和评论里出现不能自动当成三条独立支持。人工核实仅在其核查范围内有效。排序高不代表概率高；没有校准依据不输出原因概率或确定的损失估算。</w:t>
      </w:r>
    </w:p>
    <w:p>
      <w:pPr>
        <w:pStyle w:val="Heading2"/>
      </w:pPr>
      <w:r>
        <w:t>6.3 生成与校验</w:t>
      </w:r>
    </w:p>
    <w:p>
      <w:r>
        <w:t>报告主体由确定性模板填入事实、候选、缺口及动作槽位。报告解释节点只解释已有材料；自主决策节点另遵循第 11.12 节，返回结构化 claim，每条绑定允许的事实 ID，不接受任意 SQL、任意工具调用或评论中的指令。数字、对象、期间、单位、引用存在性和因果措辞分别校验。</w:t>
      </w:r>
    </w:p>
    <w:p>
      <w:r>
        <w:t>无法仅靠字符串校验保证所有自由文本正确，因此关键指标、确定性结论和原因状态由服务端生成。模型自由解释不得新增无引用事实；校验失败直接使用规则报告，不先展示未校验内容。记录失败原因、模型及提示版本、耗时和用量；敏感原文不进入通用日志。</w:t>
      </w:r>
    </w:p>
    <w:p>
      <w:r>
        <w:t>新报告与旧报告的差异分为数据修订、规则变化、语义版本变化及人工补证，明确哪些结论改变。历史报告不因升级模型而自动重写；主动重标注产生新计算和报告版本。</w:t>
      </w:r>
    </w:p>
    <w:p>
      <w:pPr>
        <w:pStyle w:val="Heading1"/>
      </w:pPr>
      <w:r>
        <w:t>7 怎么处理及何时关闭</w:t>
      </w:r>
    </w:p>
    <w:p>
      <w:pPr>
        <w:pStyle w:val="Heading2"/>
      </w:pPr>
      <w:r>
        <w:t>7.1 事件聚合与并发</w:t>
      </w:r>
    </w:p>
    <w:p>
      <w:r>
        <w:t>事件业务键为工作区、授权分析范围、问题族。销售转化、售后体验、可售库存、安全保持独立问题族，可相互链接。数据库约束保证同键最多一个开放事件，检测更新在事务中执行，不能靠先查后插避免重复。</w:t>
      </w:r>
    </w:p>
    <w:p>
      <w:r>
        <w:t>连续扫描附加检测和报告版本。只有出现新完整业务日才增加持续天数；同一天重复导入或人工重跑不延长持续时间。关闭后 30 日内同问题复发重新打开并保留历史，超过 30 日建立新事件并链接旧事件。单纯历史数据纠错标为结论修订，不能当成新的现实复发。</w:t>
      </w:r>
    </w:p>
    <w:p>
      <w:r>
        <w:t>人工合并、拆分要指定涉及的检测、报告和动作归属，并记录重定向和理由；不允许借合并把未授权店铺数据带入事件。页面提交带实体版本，版本过期返回冲突和最新状态，防止两名运营互相覆盖处理记录。</w:t>
      </w:r>
    </w:p>
    <w:p>
      <w:pPr>
        <w:pStyle w:val="Heading2"/>
      </w:pPr>
      <w:r>
        <w:t>7.2 状态与动作</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1843"/>
        <w:gridCol w:w="4493"/>
        <w:gridCol w:w="3888"/>
      </w:tblGrid>
      <w:tr>
        <w:trPr>
          <w:cantSplit/>
          <w:tblHeader/>
        </w:trPr>
        <w:tc>
          <w:tcPr>
            <w:tcW w:type="dxa" w:w="1843"/>
            <w:vAlign w:val="center"/>
            <w:tcMar>
              <w:top w:w="80" w:type="dxa"/>
              <w:bottom w:w="80" w:type="dxa"/>
              <w:left w:w="90" w:type="dxa"/>
              <w:right w:w="90" w:type="dxa"/>
            </w:tcMar>
            <w:tcBorders>
              <w:bottom w:val="single" w:sz="4" w:color="D7DCE0"/>
            </w:tcBorders>
            <w:shd w:fill="EEF1F3"/>
          </w:tcPr>
          <w:p>
            <w:pPr>
              <w:keepNext/>
              <w:spacing w:after="0" w:line="276" w:lineRule="auto"/>
            </w:pPr>
            <w:r>
              <w:rPr>
                <w:b/>
                <w:sz w:val="20"/>
              </w:rPr>
              <w:t>对象</w:t>
            </w:r>
          </w:p>
        </w:tc>
        <w:tc>
          <w:tcPr>
            <w:tcW w:type="dxa" w:w="4493"/>
            <w:vAlign w:val="center"/>
            <w:tcMar>
              <w:top w:w="80" w:type="dxa"/>
              <w:bottom w:w="80" w:type="dxa"/>
              <w:left w:w="90" w:type="dxa"/>
              <w:right w:w="90" w:type="dxa"/>
            </w:tcMar>
            <w:tcBorders>
              <w:bottom w:val="single" w:sz="4" w:color="D7DCE0"/>
            </w:tcBorders>
            <w:shd w:fill="EEF1F3"/>
          </w:tcPr>
          <w:p>
            <w:pPr>
              <w:keepNext/>
              <w:spacing w:after="0" w:line="276" w:lineRule="auto"/>
            </w:pPr>
            <w:r>
              <w:rPr>
                <w:b/>
                <w:sz w:val="20"/>
              </w:rPr>
              <w:t>状态流转</w:t>
            </w:r>
          </w:p>
        </w:tc>
        <w:tc>
          <w:tcPr>
            <w:tcW w:type="dxa" w:w="3888"/>
            <w:vAlign w:val="center"/>
            <w:tcMar>
              <w:top w:w="80" w:type="dxa"/>
              <w:bottom w:w="80" w:type="dxa"/>
              <w:left w:w="90" w:type="dxa"/>
              <w:right w:w="90" w:type="dxa"/>
            </w:tcMar>
            <w:tcBorders>
              <w:bottom w:val="single" w:sz="4" w:color="D7DCE0"/>
            </w:tcBorders>
            <w:shd w:fill="EEF1F3"/>
          </w:tcPr>
          <w:p>
            <w:pPr>
              <w:keepNext/>
              <w:spacing w:after="0" w:line="276" w:lineRule="auto"/>
            </w:pPr>
            <w:r>
              <w:rPr>
                <w:b/>
                <w:sz w:val="20"/>
              </w:rPr>
              <w:t>条件与处理</w:t>
            </w:r>
          </w:p>
        </w:tc>
      </w:tr>
      <w:tr>
        <w:trPr>
          <w:cantSplit/>
        </w:trPr>
        <w:tc>
          <w:tcPr>
            <w:tcW w:type="dxa" w:w="1843"/>
            <w:vAlign w:val="center"/>
            <w:tcMar>
              <w:top w:w="80" w:type="dxa"/>
              <w:bottom w:w="80" w:type="dxa"/>
              <w:left w:w="90" w:type="dxa"/>
              <w:right w:w="90" w:type="dxa"/>
            </w:tcMar>
            <w:tcBorders>
              <w:bottom w:val="single" w:sz="4" w:color="D7DCE0"/>
            </w:tcBorders>
          </w:tcPr>
          <w:p>
            <w:pPr>
              <w:keepNext w:val="0"/>
              <w:spacing w:after="0" w:line="276" w:lineRule="auto"/>
            </w:pPr>
            <w:r>
              <w:rPr>
                <w:sz w:val="20"/>
              </w:rPr>
              <w:t>事件</w:t>
            </w:r>
          </w:p>
        </w:tc>
        <w:tc>
          <w:tcPr>
            <w:tcW w:type="dxa" w:w="4493"/>
            <w:vAlign w:val="center"/>
            <w:tcMar>
              <w:top w:w="80" w:type="dxa"/>
              <w:bottom w:w="80" w:type="dxa"/>
              <w:left w:w="90" w:type="dxa"/>
              <w:right w:w="90" w:type="dxa"/>
            </w:tcMar>
            <w:tcBorders>
              <w:bottom w:val="single" w:sz="4" w:color="D7DCE0"/>
            </w:tcBorders>
          </w:tcPr>
          <w:p>
            <w:pPr>
              <w:keepNext w:val="0"/>
              <w:spacing w:after="0" w:line="276" w:lineRule="auto"/>
            </w:pPr>
            <w:r>
              <w:rPr>
                <w:sz w:val="20"/>
              </w:rPr>
              <w:t>待处理 → 处理中 → 观察中 → 已关闭</w:t>
            </w:r>
          </w:p>
        </w:tc>
        <w:tc>
          <w:tcPr>
            <w:tcW w:type="dxa" w:w="3888"/>
            <w:vAlign w:val="center"/>
            <w:tcMar>
              <w:top w:w="80" w:type="dxa"/>
              <w:bottom w:w="80" w:type="dxa"/>
              <w:left w:w="90" w:type="dxa"/>
              <w:right w:w="90" w:type="dxa"/>
            </w:tcMar>
            <w:tcBorders>
              <w:bottom w:val="single" w:sz="4" w:color="D7DCE0"/>
            </w:tcBorders>
          </w:tcPr>
          <w:p>
            <w:pPr>
              <w:keepNext w:val="0"/>
              <w:spacing w:after="0" w:line="276" w:lineRule="auto"/>
            </w:pPr>
            <w:r>
              <w:rPr>
                <w:sz w:val="20"/>
              </w:rPr>
              <w:t>关闭必须有原因及核查记录；指标恢复不是唯一关闭原因</w:t>
            </w:r>
          </w:p>
        </w:tc>
      </w:tr>
      <w:tr>
        <w:trPr>
          <w:cantSplit/>
        </w:trPr>
        <w:tc>
          <w:tcPr>
            <w:tcW w:type="dxa" w:w="1843"/>
            <w:vAlign w:val="center"/>
            <w:tcMar>
              <w:top w:w="80" w:type="dxa"/>
              <w:bottom w:w="80" w:type="dxa"/>
              <w:left w:w="90" w:type="dxa"/>
              <w:right w:w="90" w:type="dxa"/>
            </w:tcMar>
            <w:tcBorders>
              <w:bottom w:val="single" w:sz="4" w:color="D7DCE0"/>
            </w:tcBorders>
          </w:tcPr>
          <w:p>
            <w:pPr>
              <w:keepNext w:val="0"/>
              <w:spacing w:after="0" w:line="276" w:lineRule="auto"/>
            </w:pPr>
            <w:r>
              <w:rPr>
                <w:sz w:val="20"/>
              </w:rPr>
              <w:t>数据阻塞</w:t>
            </w:r>
          </w:p>
        </w:tc>
        <w:tc>
          <w:tcPr>
            <w:tcW w:type="dxa" w:w="4493"/>
            <w:vAlign w:val="center"/>
            <w:tcMar>
              <w:top w:w="80" w:type="dxa"/>
              <w:bottom w:w="80" w:type="dxa"/>
              <w:left w:w="90" w:type="dxa"/>
              <w:right w:w="90" w:type="dxa"/>
            </w:tcMar>
            <w:tcBorders>
              <w:bottom w:val="single" w:sz="4" w:color="D7DCE0"/>
            </w:tcBorders>
          </w:tcPr>
          <w:p>
            <w:pPr>
              <w:keepNext w:val="0"/>
              <w:spacing w:after="0" w:line="276" w:lineRule="auto"/>
            </w:pPr>
            <w:r>
              <w:rPr>
                <w:sz w:val="20"/>
              </w:rPr>
              <w:t>正常 ↔ 待补数据</w:t>
            </w:r>
          </w:p>
        </w:tc>
        <w:tc>
          <w:tcPr>
            <w:tcW w:type="dxa" w:w="3888"/>
            <w:vAlign w:val="center"/>
            <w:tcMar>
              <w:top w:w="80" w:type="dxa"/>
              <w:bottom w:w="80" w:type="dxa"/>
              <w:left w:w="90" w:type="dxa"/>
              <w:right w:w="90" w:type="dxa"/>
            </w:tcMar>
            <w:tcBorders>
              <w:bottom w:val="single" w:sz="4" w:color="D7DCE0"/>
            </w:tcBorders>
          </w:tcPr>
          <w:p>
            <w:pPr>
              <w:keepNext w:val="0"/>
              <w:spacing w:after="0" w:line="276" w:lineRule="auto"/>
            </w:pPr>
            <w:r>
              <w:rPr>
                <w:sz w:val="20"/>
              </w:rPr>
              <w:t>作为独立阻塞标记，保留事件主状态及缺口负责人</w:t>
            </w:r>
          </w:p>
        </w:tc>
      </w:tr>
      <w:tr>
        <w:trPr>
          <w:cantSplit/>
        </w:trPr>
        <w:tc>
          <w:tcPr>
            <w:tcW w:type="dxa" w:w="1843"/>
            <w:vAlign w:val="center"/>
            <w:tcMar>
              <w:top w:w="80" w:type="dxa"/>
              <w:bottom w:w="80" w:type="dxa"/>
              <w:left w:w="90" w:type="dxa"/>
              <w:right w:w="90" w:type="dxa"/>
            </w:tcMar>
            <w:tcBorders>
              <w:bottom w:val="single" w:sz="4" w:color="D7DCE0"/>
            </w:tcBorders>
          </w:tcPr>
          <w:p>
            <w:pPr>
              <w:keepNext w:val="0"/>
              <w:spacing w:after="0" w:line="276" w:lineRule="auto"/>
            </w:pPr>
            <w:r>
              <w:rPr>
                <w:sz w:val="20"/>
              </w:rPr>
              <w:t>暂缓提醒</w:t>
            </w:r>
          </w:p>
        </w:tc>
        <w:tc>
          <w:tcPr>
            <w:tcW w:type="dxa" w:w="4493"/>
            <w:vAlign w:val="center"/>
            <w:tcMar>
              <w:top w:w="80" w:type="dxa"/>
              <w:bottom w:w="80" w:type="dxa"/>
              <w:left w:w="90" w:type="dxa"/>
              <w:right w:w="90" w:type="dxa"/>
            </w:tcMar>
            <w:tcBorders>
              <w:bottom w:val="single" w:sz="4" w:color="D7DCE0"/>
            </w:tcBorders>
          </w:tcPr>
          <w:p>
            <w:pPr>
              <w:keepNext w:val="0"/>
              <w:spacing w:after="0" w:line="276" w:lineRule="auto"/>
            </w:pPr>
            <w:r>
              <w:rPr>
                <w:sz w:val="20"/>
              </w:rPr>
              <w:t>未暂缓 ↔ 暂缓至指定日期</w:t>
            </w:r>
          </w:p>
        </w:tc>
        <w:tc>
          <w:tcPr>
            <w:tcW w:type="dxa" w:w="3888"/>
            <w:vAlign w:val="center"/>
            <w:tcMar>
              <w:top w:w="80" w:type="dxa"/>
              <w:bottom w:w="80" w:type="dxa"/>
              <w:left w:w="90" w:type="dxa"/>
              <w:right w:w="90" w:type="dxa"/>
            </w:tcMar>
            <w:tcBorders>
              <w:bottom w:val="single" w:sz="4" w:color="D7DCE0"/>
            </w:tcBorders>
          </w:tcPr>
          <w:p>
            <w:pPr>
              <w:keepNext w:val="0"/>
              <w:spacing w:after="0" w:line="276" w:lineRule="auto"/>
            </w:pPr>
            <w:r>
              <w:rPr>
                <w:sz w:val="20"/>
              </w:rPr>
              <w:t>不停止扫描，严重安全线索仍提醒</w:t>
            </w:r>
          </w:p>
        </w:tc>
      </w:tr>
      <w:tr>
        <w:trPr>
          <w:cantSplit/>
        </w:trPr>
        <w:tc>
          <w:tcPr>
            <w:tcW w:type="dxa" w:w="1843"/>
            <w:vAlign w:val="center"/>
            <w:tcMar>
              <w:top w:w="80" w:type="dxa"/>
              <w:bottom w:w="80" w:type="dxa"/>
              <w:left w:w="90" w:type="dxa"/>
              <w:right w:w="90" w:type="dxa"/>
            </w:tcMar>
            <w:tcBorders>
              <w:bottom w:val="single" w:sz="4" w:color="D7DCE0"/>
            </w:tcBorders>
          </w:tcPr>
          <w:p>
            <w:pPr>
              <w:keepNext w:val="0"/>
              <w:spacing w:after="0" w:line="276" w:lineRule="auto"/>
            </w:pPr>
            <w:r>
              <w:rPr>
                <w:sz w:val="20"/>
              </w:rPr>
              <w:t>动作</w:t>
            </w:r>
          </w:p>
        </w:tc>
        <w:tc>
          <w:tcPr>
            <w:tcW w:type="dxa" w:w="4493"/>
            <w:vAlign w:val="center"/>
            <w:tcMar>
              <w:top w:w="80" w:type="dxa"/>
              <w:bottom w:w="80" w:type="dxa"/>
              <w:left w:w="90" w:type="dxa"/>
              <w:right w:w="90" w:type="dxa"/>
            </w:tcMar>
            <w:tcBorders>
              <w:bottom w:val="single" w:sz="4" w:color="D7DCE0"/>
            </w:tcBorders>
          </w:tcPr>
          <w:p>
            <w:pPr>
              <w:keepNext w:val="0"/>
              <w:spacing w:after="0" w:line="276" w:lineRule="auto"/>
            </w:pPr>
            <w:r>
              <w:rPr>
                <w:sz w:val="20"/>
              </w:rPr>
              <w:t>待执行 → 执行中 → 已完成，或已取消</w:t>
            </w:r>
          </w:p>
        </w:tc>
        <w:tc>
          <w:tcPr>
            <w:tcW w:type="dxa" w:w="3888"/>
            <w:vAlign w:val="center"/>
            <w:tcMar>
              <w:top w:w="80" w:type="dxa"/>
              <w:bottom w:w="80" w:type="dxa"/>
              <w:left w:w="90" w:type="dxa"/>
              <w:right w:w="90" w:type="dxa"/>
            </w:tcMar>
            <w:tcBorders>
              <w:bottom w:val="single" w:sz="4" w:color="D7DCE0"/>
            </w:tcBorders>
          </w:tcPr>
          <w:p>
            <w:pPr>
              <w:keepNext w:val="0"/>
              <w:spacing w:after="0" w:line="276" w:lineRule="auto"/>
            </w:pPr>
            <w:r>
              <w:rPr>
                <w:sz w:val="20"/>
              </w:rPr>
              <w:t>完成需结果及实际完成时间；取消需理由</w:t>
            </w:r>
          </w:p>
        </w:tc>
      </w:tr>
      <w:tr>
        <w:trPr>
          <w:cantSplit/>
        </w:trPr>
        <w:tc>
          <w:tcPr>
            <w:tcW w:type="dxa" w:w="1843"/>
            <w:vAlign w:val="center"/>
            <w:tcMar>
              <w:top w:w="80" w:type="dxa"/>
              <w:bottom w:w="80" w:type="dxa"/>
              <w:left w:w="90" w:type="dxa"/>
              <w:right w:w="90" w:type="dxa"/>
            </w:tcMar>
            <w:tcBorders>
              <w:bottom w:val="single" w:sz="4" w:color="D7DCE0"/>
            </w:tcBorders>
          </w:tcPr>
          <w:p>
            <w:pPr>
              <w:keepNext w:val="0"/>
              <w:spacing w:after="0" w:line="276" w:lineRule="auto"/>
            </w:pPr>
            <w:r>
              <w:rPr>
                <w:sz w:val="20"/>
              </w:rPr>
              <w:t>复查</w:t>
            </w:r>
          </w:p>
        </w:tc>
        <w:tc>
          <w:tcPr>
            <w:tcW w:type="dxa" w:w="4493"/>
            <w:vAlign w:val="center"/>
            <w:tcMar>
              <w:top w:w="80" w:type="dxa"/>
              <w:bottom w:w="80" w:type="dxa"/>
              <w:left w:w="90" w:type="dxa"/>
              <w:right w:w="90" w:type="dxa"/>
            </w:tcMar>
            <w:tcBorders>
              <w:bottom w:val="single" w:sz="4" w:color="D7DCE0"/>
            </w:tcBorders>
          </w:tcPr>
          <w:p>
            <w:pPr>
              <w:keepNext w:val="0"/>
              <w:spacing w:after="0" w:line="276" w:lineRule="auto"/>
            </w:pPr>
            <w:r>
              <w:rPr>
                <w:sz w:val="20"/>
              </w:rPr>
              <w:t>未到期 → 待复查 → 已复查，或等待数据</w:t>
            </w:r>
          </w:p>
        </w:tc>
        <w:tc>
          <w:tcPr>
            <w:tcW w:type="dxa" w:w="3888"/>
            <w:vAlign w:val="center"/>
            <w:tcMar>
              <w:top w:w="80" w:type="dxa"/>
              <w:bottom w:w="80" w:type="dxa"/>
              <w:left w:w="90" w:type="dxa"/>
              <w:right w:w="90" w:type="dxa"/>
            </w:tcMar>
            <w:tcBorders>
              <w:bottom w:val="single" w:sz="4" w:color="D7DCE0"/>
            </w:tcBorders>
          </w:tcPr>
          <w:p>
            <w:pPr>
              <w:keepNext w:val="0"/>
              <w:spacing w:after="0" w:line="276" w:lineRule="auto"/>
            </w:pPr>
            <w:r>
              <w:rPr>
                <w:sz w:val="20"/>
              </w:rPr>
              <w:t>观察期和来源未满足时不能写“效果已验证”</w:t>
            </w:r>
          </w:p>
        </w:tc>
      </w:tr>
    </w:tbl>
    <w:p>
      <w:pPr>
        <w:spacing w:after="20" w:before="0" w:line="240" w:lineRule="auto"/>
      </w:pPr>
      <w:r>
        <w:rPr>
          <w:sz w:val="4"/>
        </w:rPr>
      </w:r>
    </w:p>
    <w:p>
      <w:r>
        <w:t>确认一个候选原因不等于关闭事件，分派负责人不等于开始生效。动作记录目标对象、问题、证据、执行人、完成标准、截止时间、实际生效日、结果、观察指标及复查日。调查产物、草案和待核查任务可自动保存；正式动作或指派仅在匹配预授权规则或用户确认后执行，按命令幂等键避免报告重算或图恢复时重复创建。</w:t>
      </w:r>
    </w:p>
    <w:p>
      <w:r>
        <w:t>销量类动作按实际生效后的 7 个完整日复查；退款类等待相应发货队列成熟且来源完整。复查同时展示动作前后数据与期间其他经营事件，只能写“指标改善、未改善、尚不可判断”，没有额外证据不能写“该动作导致改善”。</w:t>
      </w:r>
    </w:p>
    <w:p>
      <w:r>
        <w:t>已恢复、误报、数据错误、重复事件、业务接受风险等关闭理由分别记录。接受风险不能伪装成问题解决；再次达到复发规则仍可重新打开。已完成动作需要修正时增加更正记录，不抹掉原执行历史。</w:t>
      </w:r>
    </w:p>
    <w:p>
      <w:pPr>
        <w:pStyle w:val="Heading2"/>
      </w:pPr>
      <w:r>
        <w:t>7.3 提醒和导出</w:t>
      </w:r>
    </w:p>
    <w:p>
      <w:r>
        <w:t>站内提醒只针对新事件、恶化、重新打开、分派及复查逾期。恶化沿用 V2：紧急级别升高，或相对上次提醒的异常幅度增加至少 25% 且仍满足触发条件。通知幂等键基于事件、提醒类型及业务变化，不仅依赖任务 ID。</w:t>
      </w:r>
    </w:p>
    <w:p>
      <w:r>
        <w:t>报告导出固定到 report_version；事件 CSV 固定查询及数据版本。生成时和下载时均重新校验用户权限，采用有期限的下载链接；跨店铺结果不能共享到无权限用户。CSV 防公式注入，HTML 中原文转义，不运行评论或模型输出中的脚本。</w:t>
      </w:r>
    </w:p>
    <w:p>
      <w:pPr>
        <w:pStyle w:val="Heading1"/>
      </w:pPr>
      <w:r>
        <w:t>8 接口与页面契约</w:t>
      </w:r>
    </w:p>
    <w:p>
      <w:r>
        <w:t>接口统一使用版本前缀、稳定 ID、分页和结构化错误。金额以十进制字符串与币种返回，日期带业务时区，统计值带单位、分母、覆盖和截止日。空值保留 null 并提供原因，不返回 0 混淆未知。</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1843"/>
        <w:gridCol w:w="4493"/>
        <w:gridCol w:w="3888"/>
      </w:tblGrid>
      <w:tr>
        <w:trPr>
          <w:cantSplit/>
          <w:tblHeader/>
        </w:trPr>
        <w:tc>
          <w:tcPr>
            <w:tcW w:type="dxa" w:w="1843"/>
            <w:vAlign w:val="center"/>
            <w:tcMar>
              <w:top w:w="80" w:type="dxa"/>
              <w:bottom w:w="80" w:type="dxa"/>
              <w:left w:w="90" w:type="dxa"/>
              <w:right w:w="90" w:type="dxa"/>
            </w:tcMar>
            <w:tcBorders>
              <w:bottom w:val="single" w:sz="4" w:color="D7DCE0"/>
            </w:tcBorders>
            <w:shd w:fill="EEF1F3"/>
          </w:tcPr>
          <w:p>
            <w:pPr>
              <w:keepNext/>
              <w:spacing w:after="0" w:line="276" w:lineRule="auto"/>
            </w:pPr>
            <w:r>
              <w:rPr>
                <w:b/>
                <w:sz w:val="20"/>
              </w:rPr>
              <w:t>接口组</w:t>
            </w:r>
          </w:p>
        </w:tc>
        <w:tc>
          <w:tcPr>
            <w:tcW w:type="dxa" w:w="4493"/>
            <w:vAlign w:val="center"/>
            <w:tcMar>
              <w:top w:w="80" w:type="dxa"/>
              <w:bottom w:w="80" w:type="dxa"/>
              <w:left w:w="90" w:type="dxa"/>
              <w:right w:w="90" w:type="dxa"/>
            </w:tcMar>
            <w:tcBorders>
              <w:bottom w:val="single" w:sz="4" w:color="D7DCE0"/>
            </w:tcBorders>
            <w:shd w:fill="EEF1F3"/>
          </w:tcPr>
          <w:p>
            <w:pPr>
              <w:keepNext/>
              <w:spacing w:after="0" w:line="276" w:lineRule="auto"/>
            </w:pPr>
            <w:r>
              <w:rPr>
                <w:b/>
                <w:sz w:val="20"/>
              </w:rPr>
              <w:t>典型操作</w:t>
            </w:r>
          </w:p>
        </w:tc>
        <w:tc>
          <w:tcPr>
            <w:tcW w:type="dxa" w:w="3888"/>
            <w:vAlign w:val="center"/>
            <w:tcMar>
              <w:top w:w="80" w:type="dxa"/>
              <w:bottom w:w="80" w:type="dxa"/>
              <w:left w:w="90" w:type="dxa"/>
              <w:right w:w="90" w:type="dxa"/>
            </w:tcMar>
            <w:tcBorders>
              <w:bottom w:val="single" w:sz="4" w:color="D7DCE0"/>
            </w:tcBorders>
            <w:shd w:fill="EEF1F3"/>
          </w:tcPr>
          <w:p>
            <w:pPr>
              <w:keepNext/>
              <w:spacing w:after="0" w:line="276" w:lineRule="auto"/>
            </w:pPr>
            <w:r>
              <w:rPr>
                <w:b/>
                <w:sz w:val="20"/>
              </w:rPr>
              <w:t>返回或约束</w:t>
            </w:r>
          </w:p>
        </w:tc>
      </w:tr>
      <w:tr>
        <w:trPr>
          <w:cantSplit/>
        </w:trPr>
        <w:tc>
          <w:tcPr>
            <w:tcW w:type="dxa" w:w="1843"/>
            <w:vAlign w:val="center"/>
            <w:tcMar>
              <w:top w:w="80" w:type="dxa"/>
              <w:bottom w:w="80" w:type="dxa"/>
              <w:left w:w="90" w:type="dxa"/>
              <w:right w:w="90" w:type="dxa"/>
            </w:tcMar>
            <w:tcBorders>
              <w:bottom w:val="single" w:sz="4" w:color="D7DCE0"/>
            </w:tcBorders>
          </w:tcPr>
          <w:p>
            <w:pPr>
              <w:keepNext w:val="0"/>
              <w:spacing w:after="0" w:line="276" w:lineRule="auto"/>
            </w:pPr>
            <w:r>
              <w:rPr>
                <w:sz w:val="20"/>
              </w:rPr>
              <w:t>导入</w:t>
            </w:r>
          </w:p>
        </w:tc>
        <w:tc>
          <w:tcPr>
            <w:tcW w:type="dxa" w:w="4493"/>
            <w:vAlign w:val="center"/>
            <w:tcMar>
              <w:top w:w="80" w:type="dxa"/>
              <w:bottom w:w="80" w:type="dxa"/>
              <w:left w:w="90" w:type="dxa"/>
              <w:right w:w="90" w:type="dxa"/>
            </w:tcMar>
            <w:tcBorders>
              <w:bottom w:val="single" w:sz="4" w:color="D7DCE0"/>
            </w:tcBorders>
          </w:tcPr>
          <w:p>
            <w:pPr>
              <w:keepNext w:val="0"/>
              <w:spacing w:after="0" w:line="276" w:lineRule="auto"/>
            </w:pPr>
            <w:r>
              <w:rPr>
                <w:sz w:val="20"/>
              </w:rPr>
              <w:t>POST /v1/imports；GET /v1/imports/{id}/preview；POST /v1/imports/{id}/publish</w:t>
            </w:r>
          </w:p>
        </w:tc>
        <w:tc>
          <w:tcPr>
            <w:tcW w:type="dxa" w:w="3888"/>
            <w:vAlign w:val="center"/>
            <w:tcMar>
              <w:top w:w="80" w:type="dxa"/>
              <w:bottom w:w="80" w:type="dxa"/>
              <w:left w:w="90" w:type="dxa"/>
              <w:right w:w="90" w:type="dxa"/>
            </w:tcMar>
            <w:tcBorders>
              <w:bottom w:val="single" w:sz="4" w:color="D7DCE0"/>
            </w:tcBorders>
          </w:tcPr>
          <w:p>
            <w:pPr>
              <w:keepNext w:val="0"/>
              <w:spacing w:after="0" w:line="276" w:lineRule="auto"/>
            </w:pPr>
            <w:r>
              <w:rPr>
                <w:sz w:val="20"/>
              </w:rPr>
              <w:t>创建及发布支持幂等键；异步返回 202 和 job_id</w:t>
            </w:r>
          </w:p>
        </w:tc>
      </w:tr>
      <w:tr>
        <w:trPr>
          <w:cantSplit/>
        </w:trPr>
        <w:tc>
          <w:tcPr>
            <w:tcW w:type="dxa" w:w="1843"/>
            <w:vAlign w:val="center"/>
            <w:tcMar>
              <w:top w:w="80" w:type="dxa"/>
              <w:bottom w:w="80" w:type="dxa"/>
              <w:left w:w="90" w:type="dxa"/>
              <w:right w:w="90" w:type="dxa"/>
            </w:tcMar>
            <w:tcBorders>
              <w:bottom w:val="single" w:sz="4" w:color="D7DCE0"/>
            </w:tcBorders>
          </w:tcPr>
          <w:p>
            <w:pPr>
              <w:keepNext w:val="0"/>
              <w:spacing w:after="0" w:line="276" w:lineRule="auto"/>
            </w:pPr>
            <w:r>
              <w:rPr>
                <w:sz w:val="20"/>
              </w:rPr>
              <w:t>扫描</w:t>
            </w:r>
          </w:p>
        </w:tc>
        <w:tc>
          <w:tcPr>
            <w:tcW w:type="dxa" w:w="4493"/>
            <w:vAlign w:val="center"/>
            <w:tcMar>
              <w:top w:w="80" w:type="dxa"/>
              <w:bottom w:w="80" w:type="dxa"/>
              <w:left w:w="90" w:type="dxa"/>
              <w:right w:w="90" w:type="dxa"/>
            </w:tcMar>
            <w:tcBorders>
              <w:bottom w:val="single" w:sz="4" w:color="D7DCE0"/>
            </w:tcBorders>
          </w:tcPr>
          <w:p>
            <w:pPr>
              <w:keepNext w:val="0"/>
              <w:spacing w:after="0" w:line="276" w:lineRule="auto"/>
            </w:pPr>
            <w:r>
              <w:rPr>
                <w:sz w:val="20"/>
              </w:rPr>
              <w:t>POST /v1/scans；GET /v1/jobs/{id}</w:t>
            </w:r>
          </w:p>
        </w:tc>
        <w:tc>
          <w:tcPr>
            <w:tcW w:type="dxa" w:w="3888"/>
            <w:vAlign w:val="center"/>
            <w:tcMar>
              <w:top w:w="80" w:type="dxa"/>
              <w:bottom w:w="80" w:type="dxa"/>
              <w:left w:w="90" w:type="dxa"/>
              <w:right w:w="90" w:type="dxa"/>
            </w:tcMar>
            <w:tcBorders>
              <w:bottom w:val="single" w:sz="4" w:color="D7DCE0"/>
            </w:tcBorders>
          </w:tcPr>
          <w:p>
            <w:pPr>
              <w:keepNext w:val="0"/>
              <w:spacing w:after="0" w:line="276" w:lineRule="auto"/>
            </w:pPr>
            <w:r>
              <w:rPr>
                <w:sz w:val="20"/>
              </w:rPr>
              <w:t>同输入返回既有任务，进度区分排队、运行、失败、完成</w:t>
            </w:r>
          </w:p>
        </w:tc>
      </w:tr>
      <w:tr>
        <w:trPr>
          <w:cantSplit/>
        </w:trPr>
        <w:tc>
          <w:tcPr>
            <w:tcW w:type="dxa" w:w="1843"/>
            <w:vAlign w:val="center"/>
            <w:tcMar>
              <w:top w:w="80" w:type="dxa"/>
              <w:bottom w:w="80" w:type="dxa"/>
              <w:left w:w="90" w:type="dxa"/>
              <w:right w:w="90" w:type="dxa"/>
            </w:tcMar>
            <w:tcBorders>
              <w:bottom w:val="single" w:sz="4" w:color="D7DCE0"/>
            </w:tcBorders>
          </w:tcPr>
          <w:p>
            <w:pPr>
              <w:keepNext w:val="0"/>
              <w:spacing w:after="0" w:line="276" w:lineRule="auto"/>
            </w:pPr>
            <w:r>
              <w:rPr>
                <w:sz w:val="20"/>
              </w:rPr>
              <w:t>事件报告</w:t>
            </w:r>
          </w:p>
        </w:tc>
        <w:tc>
          <w:tcPr>
            <w:tcW w:type="dxa" w:w="4493"/>
            <w:vAlign w:val="center"/>
            <w:tcMar>
              <w:top w:w="80" w:type="dxa"/>
              <w:bottom w:w="80" w:type="dxa"/>
              <w:left w:w="90" w:type="dxa"/>
              <w:right w:w="90" w:type="dxa"/>
            </w:tcMar>
            <w:tcBorders>
              <w:bottom w:val="single" w:sz="4" w:color="D7DCE0"/>
            </w:tcBorders>
          </w:tcPr>
          <w:p>
            <w:pPr>
              <w:keepNext w:val="0"/>
              <w:spacing w:after="0" w:line="276" w:lineRule="auto"/>
            </w:pPr>
            <w:r>
              <w:rPr>
                <w:sz w:val="20"/>
              </w:rPr>
              <w:t>GET /v1/incidents；GET /v1/incidents/{id}；GET /v1/reports/{id}</w:t>
            </w:r>
          </w:p>
        </w:tc>
        <w:tc>
          <w:tcPr>
            <w:tcW w:type="dxa" w:w="3888"/>
            <w:vAlign w:val="center"/>
            <w:tcMar>
              <w:top w:w="80" w:type="dxa"/>
              <w:bottom w:w="80" w:type="dxa"/>
              <w:left w:w="90" w:type="dxa"/>
              <w:right w:w="90" w:type="dxa"/>
            </w:tcMar>
            <w:tcBorders>
              <w:bottom w:val="single" w:sz="4" w:color="D7DCE0"/>
            </w:tcBorders>
          </w:tcPr>
          <w:p>
            <w:pPr>
              <w:keepNext w:val="0"/>
              <w:spacing w:after="0" w:line="276" w:lineRule="auto"/>
            </w:pPr>
            <w:r>
              <w:rPr>
                <w:sz w:val="20"/>
              </w:rPr>
              <w:t>当前状态与不可变报告版本分开</w:t>
            </w:r>
          </w:p>
        </w:tc>
      </w:tr>
      <w:tr>
        <w:trPr>
          <w:cantSplit/>
        </w:trPr>
        <w:tc>
          <w:tcPr>
            <w:tcW w:type="dxa" w:w="1843"/>
            <w:vAlign w:val="center"/>
            <w:tcMar>
              <w:top w:w="80" w:type="dxa"/>
              <w:bottom w:w="80" w:type="dxa"/>
              <w:left w:w="90" w:type="dxa"/>
              <w:right w:w="90" w:type="dxa"/>
            </w:tcMar>
            <w:tcBorders>
              <w:bottom w:val="single" w:sz="4" w:color="D7DCE0"/>
            </w:tcBorders>
          </w:tcPr>
          <w:p>
            <w:pPr>
              <w:keepNext w:val="0"/>
              <w:spacing w:after="0" w:line="276" w:lineRule="auto"/>
            </w:pPr>
            <w:r>
              <w:rPr>
                <w:sz w:val="20"/>
              </w:rPr>
              <w:t>证据</w:t>
            </w:r>
          </w:p>
        </w:tc>
        <w:tc>
          <w:tcPr>
            <w:tcW w:type="dxa" w:w="4493"/>
            <w:vAlign w:val="center"/>
            <w:tcMar>
              <w:top w:w="80" w:type="dxa"/>
              <w:bottom w:w="80" w:type="dxa"/>
              <w:left w:w="90" w:type="dxa"/>
              <w:right w:w="90" w:type="dxa"/>
            </w:tcMar>
            <w:tcBorders>
              <w:bottom w:val="single" w:sz="4" w:color="D7DCE0"/>
            </w:tcBorders>
          </w:tcPr>
          <w:p>
            <w:pPr>
              <w:keepNext w:val="0"/>
              <w:spacing w:after="0" w:line="276" w:lineRule="auto"/>
            </w:pPr>
            <w:r>
              <w:rPr>
                <w:sz w:val="20"/>
              </w:rPr>
              <w:t>GET /v1/evidence/{id}；GET /v1/evidence/{id}/records</w:t>
            </w:r>
          </w:p>
        </w:tc>
        <w:tc>
          <w:tcPr>
            <w:tcW w:type="dxa" w:w="3888"/>
            <w:vAlign w:val="center"/>
            <w:tcMar>
              <w:top w:w="80" w:type="dxa"/>
              <w:bottom w:w="80" w:type="dxa"/>
              <w:left w:w="90" w:type="dxa"/>
              <w:right w:w="90" w:type="dxa"/>
            </w:tcMar>
            <w:tcBorders>
              <w:bottom w:val="single" w:sz="4" w:color="D7DCE0"/>
            </w:tcBorders>
          </w:tcPr>
          <w:p>
            <w:pPr>
              <w:keepNext w:val="0"/>
              <w:spacing w:after="0" w:line="276" w:lineRule="auto"/>
            </w:pPr>
            <w:r>
              <w:rPr>
                <w:sz w:val="20"/>
              </w:rPr>
              <w:t>分页明细，按源对象权限过滤，保留原行号</w:t>
            </w:r>
          </w:p>
        </w:tc>
      </w:tr>
      <w:tr>
        <w:trPr>
          <w:cantSplit/>
        </w:trPr>
        <w:tc>
          <w:tcPr>
            <w:tcW w:type="dxa" w:w="1843"/>
            <w:vAlign w:val="center"/>
            <w:tcMar>
              <w:top w:w="80" w:type="dxa"/>
              <w:bottom w:w="80" w:type="dxa"/>
              <w:left w:w="90" w:type="dxa"/>
              <w:right w:w="90" w:type="dxa"/>
            </w:tcMar>
            <w:tcBorders>
              <w:bottom w:val="single" w:sz="4" w:color="D7DCE0"/>
            </w:tcBorders>
          </w:tcPr>
          <w:p>
            <w:pPr>
              <w:keepNext w:val="0"/>
              <w:spacing w:after="0" w:line="276" w:lineRule="auto"/>
            </w:pPr>
            <w:r>
              <w:rPr>
                <w:sz w:val="20"/>
              </w:rPr>
              <w:t>处理</w:t>
            </w:r>
          </w:p>
        </w:tc>
        <w:tc>
          <w:tcPr>
            <w:tcW w:type="dxa" w:w="4493"/>
            <w:vAlign w:val="center"/>
            <w:tcMar>
              <w:top w:w="80" w:type="dxa"/>
              <w:bottom w:w="80" w:type="dxa"/>
              <w:left w:w="90" w:type="dxa"/>
              <w:right w:w="90" w:type="dxa"/>
            </w:tcMar>
            <w:tcBorders>
              <w:bottom w:val="single" w:sz="4" w:color="D7DCE0"/>
            </w:tcBorders>
          </w:tcPr>
          <w:p>
            <w:pPr>
              <w:keepNext w:val="0"/>
              <w:spacing w:after="0" w:line="276" w:lineRule="auto"/>
            </w:pPr>
            <w:r>
              <w:rPr>
                <w:sz w:val="20"/>
              </w:rPr>
              <w:t>POST /v1/incidents/{id}/commands；POST /v1/actions；POST /v1/reviews/{id}/complete</w:t>
            </w:r>
          </w:p>
        </w:tc>
        <w:tc>
          <w:tcPr>
            <w:tcW w:type="dxa" w:w="3888"/>
            <w:vAlign w:val="center"/>
            <w:tcMar>
              <w:top w:w="80" w:type="dxa"/>
              <w:bottom w:w="80" w:type="dxa"/>
              <w:left w:w="90" w:type="dxa"/>
              <w:right w:w="90" w:type="dxa"/>
            </w:tcMar>
            <w:tcBorders>
              <w:bottom w:val="single" w:sz="4" w:color="D7DCE0"/>
            </w:tcBorders>
          </w:tcPr>
          <w:p>
            <w:pPr>
              <w:keepNext w:val="0"/>
              <w:spacing w:after="0" w:line="276" w:lineRule="auto"/>
            </w:pPr>
            <w:r>
              <w:rPr>
                <w:sz w:val="20"/>
              </w:rPr>
              <w:t>明确命令，校验实体版本、权限和状态转换</w:t>
            </w:r>
          </w:p>
        </w:tc>
      </w:tr>
      <w:tr>
        <w:trPr>
          <w:cantSplit/>
        </w:trPr>
        <w:tc>
          <w:tcPr>
            <w:tcW w:type="dxa" w:w="1843"/>
            <w:vAlign w:val="center"/>
            <w:tcMar>
              <w:top w:w="80" w:type="dxa"/>
              <w:bottom w:w="80" w:type="dxa"/>
              <w:left w:w="90" w:type="dxa"/>
              <w:right w:w="90" w:type="dxa"/>
            </w:tcMar>
            <w:tcBorders>
              <w:bottom w:val="single" w:sz="4" w:color="D7DCE0"/>
            </w:tcBorders>
          </w:tcPr>
          <w:p>
            <w:pPr>
              <w:keepNext w:val="0"/>
              <w:spacing w:after="0" w:line="276" w:lineRule="auto"/>
            </w:pPr>
            <w:r>
              <w:rPr>
                <w:sz w:val="20"/>
              </w:rPr>
              <w:t>查询导出</w:t>
            </w:r>
          </w:p>
        </w:tc>
        <w:tc>
          <w:tcPr>
            <w:tcW w:type="dxa" w:w="4493"/>
            <w:vAlign w:val="center"/>
            <w:tcMar>
              <w:top w:w="80" w:type="dxa"/>
              <w:bottom w:w="80" w:type="dxa"/>
              <w:left w:w="90" w:type="dxa"/>
              <w:right w:w="90" w:type="dxa"/>
            </w:tcMar>
            <w:tcBorders>
              <w:bottom w:val="single" w:sz="4" w:color="D7DCE0"/>
            </w:tcBorders>
          </w:tcPr>
          <w:p>
            <w:pPr>
              <w:keepNext w:val="0"/>
              <w:spacing w:after="0" w:line="276" w:lineRule="auto"/>
            </w:pPr>
            <w:r>
              <w:rPr>
                <w:sz w:val="20"/>
              </w:rPr>
              <w:t>POST /v1/query/interpret；POST /v1/exports</w:t>
            </w:r>
          </w:p>
        </w:tc>
        <w:tc>
          <w:tcPr>
            <w:tcW w:type="dxa" w:w="3888"/>
            <w:vAlign w:val="center"/>
            <w:tcMar>
              <w:top w:w="80" w:type="dxa"/>
              <w:bottom w:w="80" w:type="dxa"/>
              <w:left w:w="90" w:type="dxa"/>
              <w:right w:w="90" w:type="dxa"/>
            </w:tcMar>
            <w:tcBorders>
              <w:bottom w:val="single" w:sz="4" w:color="D7DCE0"/>
            </w:tcBorders>
          </w:tcPr>
          <w:p>
            <w:pPr>
              <w:keepNext w:val="0"/>
              <w:spacing w:after="0" w:line="276" w:lineRule="auto"/>
            </w:pPr>
            <w:r>
              <w:rPr>
                <w:sz w:val="20"/>
              </w:rPr>
              <w:t>返回 query 或 investigate 类型及定位依据；未解歧义须选择</w:t>
            </w:r>
          </w:p>
        </w:tc>
      </w:tr>
      <w:tr>
        <w:trPr>
          <w:cantSplit/>
        </w:trPr>
        <w:tc>
          <w:tcPr>
            <w:tcW w:type="dxa" w:w="1843"/>
            <w:vAlign w:val="center"/>
            <w:tcMar>
              <w:top w:w="80" w:type="dxa"/>
              <w:bottom w:w="80" w:type="dxa"/>
              <w:left w:w="90" w:type="dxa"/>
              <w:right w:w="90" w:type="dxa"/>
            </w:tcMar>
            <w:tcBorders>
              <w:bottom w:val="single" w:sz="4" w:color="D7DCE0"/>
            </w:tcBorders>
          </w:tcPr>
          <w:p>
            <w:pPr>
              <w:keepNext w:val="0"/>
              <w:spacing w:after="0" w:line="276" w:lineRule="auto"/>
            </w:pPr>
            <w:r>
              <w:rPr>
                <w:sz w:val="20"/>
              </w:rPr>
              <w:t>自主调查</w:t>
            </w:r>
          </w:p>
        </w:tc>
        <w:tc>
          <w:tcPr>
            <w:tcW w:type="dxa" w:w="4493"/>
            <w:vAlign w:val="center"/>
            <w:tcMar>
              <w:top w:w="80" w:type="dxa"/>
              <w:bottom w:w="80" w:type="dxa"/>
              <w:left w:w="90" w:type="dxa"/>
              <w:right w:w="90" w:type="dxa"/>
            </w:tcMar>
            <w:tcBorders>
              <w:bottom w:val="single" w:sz="4" w:color="D7DCE0"/>
            </w:tcBorders>
          </w:tcPr>
          <w:p>
            <w:pPr>
              <w:keepNext w:val="0"/>
              <w:spacing w:after="0" w:line="276" w:lineRule="auto"/>
            </w:pPr>
            <w:r>
              <w:rPr>
                <w:sz w:val="20"/>
              </w:rPr>
              <w:t>POST /v1/investigations；GET /v1/investigations/{id}；POST /v1/investigations/{id}/commands</w:t>
            </w:r>
          </w:p>
        </w:tc>
        <w:tc>
          <w:tcPr>
            <w:tcW w:type="dxa" w:w="3888"/>
            <w:vAlign w:val="center"/>
            <w:tcMar>
              <w:top w:w="80" w:type="dxa"/>
              <w:bottom w:w="80" w:type="dxa"/>
              <w:left w:w="90" w:type="dxa"/>
              <w:right w:w="90" w:type="dxa"/>
            </w:tcMar>
            <w:tcBorders>
              <w:bottom w:val="single" w:sz="4" w:color="D7DCE0"/>
            </w:tcBorders>
          </w:tcPr>
          <w:p>
            <w:pPr>
              <w:keepNext w:val="0"/>
              <w:spacing w:after="0" w:line="276" w:lineRule="auto"/>
            </w:pPr>
            <w:r>
              <w:rPr>
                <w:sz w:val="20"/>
              </w:rPr>
              <w:t>返回 202 和运行 ID；支持 clarify、continue、cancel 命令及实体版本</w:t>
            </w:r>
          </w:p>
        </w:tc>
      </w:tr>
      <w:tr>
        <w:trPr>
          <w:cantSplit/>
        </w:trPr>
        <w:tc>
          <w:tcPr>
            <w:tcW w:type="dxa" w:w="1843"/>
            <w:vAlign w:val="center"/>
            <w:tcMar>
              <w:top w:w="80" w:type="dxa"/>
              <w:bottom w:w="80" w:type="dxa"/>
              <w:left w:w="90" w:type="dxa"/>
              <w:right w:w="90" w:type="dxa"/>
            </w:tcMar>
            <w:tcBorders>
              <w:bottom w:val="single" w:sz="4" w:color="D7DCE0"/>
            </w:tcBorders>
          </w:tcPr>
          <w:p>
            <w:pPr>
              <w:keepNext w:val="0"/>
              <w:spacing w:after="0" w:line="276" w:lineRule="auto"/>
            </w:pPr>
            <w:r>
              <w:rPr>
                <w:sz w:val="20"/>
              </w:rPr>
              <w:t>变更提案</w:t>
            </w:r>
          </w:p>
        </w:tc>
        <w:tc>
          <w:tcPr>
            <w:tcW w:type="dxa" w:w="4493"/>
            <w:vAlign w:val="center"/>
            <w:tcMar>
              <w:top w:w="80" w:type="dxa"/>
              <w:bottom w:w="80" w:type="dxa"/>
              <w:left w:w="90" w:type="dxa"/>
              <w:right w:w="90" w:type="dxa"/>
            </w:tcMar>
            <w:tcBorders>
              <w:bottom w:val="single" w:sz="4" w:color="D7DCE0"/>
            </w:tcBorders>
          </w:tcPr>
          <w:p>
            <w:pPr>
              <w:keepNext w:val="0"/>
              <w:spacing w:after="0" w:line="276" w:lineRule="auto"/>
            </w:pPr>
            <w:r>
              <w:rPr>
                <w:sz w:val="20"/>
              </w:rPr>
              <w:t>GET /v1/change-proposals/{id}；POST /v1/change-proposals/{id}/commands</w:t>
            </w:r>
          </w:p>
        </w:tc>
        <w:tc>
          <w:tcPr>
            <w:tcW w:type="dxa" w:w="3888"/>
            <w:vAlign w:val="center"/>
            <w:tcMar>
              <w:top w:w="80" w:type="dxa"/>
              <w:bottom w:w="80" w:type="dxa"/>
              <w:left w:w="90" w:type="dxa"/>
              <w:right w:w="90" w:type="dxa"/>
            </w:tcMar>
            <w:tcBorders>
              <w:bottom w:val="single" w:sz="4" w:color="D7DCE0"/>
            </w:tcBorders>
          </w:tcPr>
          <w:p>
            <w:pPr>
              <w:keepNext w:val="0"/>
              <w:spacing w:after="0" w:line="276" w:lineRule="auto"/>
            </w:pPr>
            <w:r>
              <w:rPr>
                <w:sz w:val="20"/>
              </w:rPr>
              <w:t>approve/reject 针对精确 payload_hash 和版本；确认与执行分别留状态</w:t>
            </w:r>
          </w:p>
        </w:tc>
      </w:tr>
    </w:tbl>
    <w:p>
      <w:pPr>
        <w:spacing w:after="20" w:before="0" w:line="240" w:lineRule="auto"/>
      </w:pPr>
      <w:r>
        <w:rPr>
          <w:sz w:val="4"/>
        </w:rPr>
      </w:r>
    </w:p>
    <w:p>
      <w:r>
        <w:t>幂等键按用户、操作及授权范围绑定请求摘要；相同键不同请求返回冲突。错误至少包含 code、message、field_errors、retryable、request_id。需要补数据是业务状态，不一律返回服务器错误；无权限、状态冲突、来源无效、临时不可用分别处理。</w:t>
      </w:r>
    </w:p>
    <w:p>
      <w:r>
        <w:t>自然语言解析对象、期间、指标、主题和查询/调查意图，服务端复核授权及枚举。模糊指令先按第 11.12 节定位，不能跳过可查映射直接让人补齐。模型不可用时普通查询及 L1 报告继续可用，L2 明确显示暂停或部分完成，不宣称已完成自主调查。</w:t>
      </w:r>
    </w:p>
    <w:p>
      <w:r>
        <w:t>五类页面分别为事件队列、报告、动作复查、商品映射、数据源。事件列表显式显示截止日、数据状态、负责人和复查日；报告并列展示事实、候选、反证和缺口。任务状态采用轮询即可，先不增加实时通信基础设施。所有页面覆盖加载、空数据、部分数据、无权限、失败重试和旧报告已修订状态。</w:t>
      </w:r>
    </w:p>
    <w:p>
      <w:pPr>
        <w:pStyle w:val="Heading1"/>
      </w:pPr>
      <w:r>
        <w:t>9 后台任务与故障恢复</w:t>
      </w:r>
    </w:p>
    <w:p>
      <w:pPr>
        <w:pStyle w:val="Heading2"/>
      </w:pPr>
      <w:r>
        <w:t>9.1 任务投递与执行</w:t>
      </w:r>
    </w:p>
    <w:p>
      <w:r>
        <w:t>业务事务同时写 Job 和 Outbox。投递器把 Outbox 转成消息，成功后标记；崩溃可导致重复投递，因此工作进程必须幂等。不得宣称消息组件能提供业务上的“恰好执行一次”。</w:t>
      </w:r>
    </w:p>
    <w:p>
      <w:r>
        <w:t>任务幂等键由任务类型、工作区、对象范围、输入版本和算法版本构成。工作进程领取有期限租约，更新心跳；重领产生新的 fencing token，旧进程完成时不得覆盖新持有者结果。长任务按分区记录检查点，中断恢复不从头重复提交已完成业务变更。</w:t>
      </w:r>
    </w:p>
    <w:p>
      <w:r>
        <w:t>每工作区普通扫描互斥，新导入只把受影响范围并入下一轮；安全任务使用独立队列和有限保留并发，不被普通扫描长时间阻塞。避免长数据库事务覆盖整个扫描，结果先写暂存，完成后原子发布。</w:t>
      </w:r>
    </w:p>
    <w:p>
      <w:pPr>
        <w:pStyle w:val="Heading2"/>
      </w:pPr>
      <w:r>
        <w:t>9.2 重试及补跑</w:t>
      </w:r>
    </w:p>
    <w:p>
      <w:r>
        <w:t>网络超时、限流和临时数据库错误按第 11.4 节由唯一责任层退避重试；字段错误、权限错误、无效模型输出超过上限转人工处理，不无限重试。模型沿用需求的单次 30 秒超时加一次重试，之后使用规则报告。不同类型任务可独立限流，设置工作区用量与并发预算，避免批量回补挤占日常扫描。</w:t>
      </w:r>
    </w:p>
    <w:p>
      <w:r>
        <w:t>每天按工作区时区 08:00 调度，同一计划时间唯一。调度器只运行一个有效实例，数据库唯一键仍作为最后保障。服务离线后对遗漏范围合并补跑并显示延迟，不逐个历史计划重复提醒。任务取消是协作式的，已发布结果保留，未发布结果不激活。</w:t>
      </w:r>
    </w:p>
    <w:p>
      <w:r>
        <w:t>后台页面显示最后成功导入、完整业务日、任务积压、失败原因、标注覆盖、模型耗时用量及备份状态。任务重跑保留尝试记录；日志用 request_id、job_id、run_id、report_id 贯通，不能把订单个人信息打印出来。</w:t>
      </w:r>
    </w:p>
    <w:p>
      <w:pPr>
        <w:pStyle w:val="Heading1"/>
      </w:pPr>
      <w:r>
        <w:t>10 权限存储与部署</w:t>
      </w:r>
    </w:p>
    <w:p>
      <w:r>
        <w:t>权限采用角色能力与店铺商品范围的交集。管理员可管理来源及授权，运营处理其范围内事件，质检与售后处理被授权对象和动作。负责人映射不等于自动获得数据权限；权限校验覆盖列表、聚合、搜索、证据、后台任务及导出。</w:t>
      </w:r>
    </w:p>
    <w:p>
      <w:r>
        <w:t>建议浏览器与 API 同源部署，使用服务端会话、安全 Cookie、CSRF 防护、TLS 和登录限流。框架自带的用户权限不等于店铺对象权限，需要应用层统一实现并测试。数据库运行账号与迁移账号分离；本次使用应用层统一对象授权，不另启用行级安全；所有读写路径都必须通过隔离测试。</w:t>
      </w:r>
    </w:p>
    <w:p>
      <w:r>
        <w:t>仅保存诊断需要的数据，来源含姓名、地址、电话等信息时在规范化阶段去除或遮蔽；原文件也受更严格访问控制。订单 ID 可作内部关联键，展示时按角色遮蔽。模型只接收必要脱敏片段，模型供应商、部署区域和允许传输的数据类型确认前，不调用真实客户数据。</w:t>
      </w:r>
    </w:p>
    <w:p>
      <w:r>
        <w:t>原文件和审计记录默认按需求保留 180 天，可按来源授权缩短。删除需覆盖原文、派生标签、索引、缓存及导出；不能为了可复现无限保留已到期个人信息。历史报告保留允许保留的聚合和删除标记，明确哪些原始证据已不可回查。备份按期限轮换，恢复后先应用删除台账再开放查询，避免恢复已删除数据。</w:t>
      </w:r>
    </w:p>
    <w:p>
      <w:r>
        <w:t>按已确认的单台云服务器部署，建议容器编排管理入口、API、工作进程、调度、数据库与消息组件；文件使用持久卷，备份保存到独立故障域。单机属于可恢复部署，不是高可用承诺。建议恢复目标 RPO 不超过 24 小时、RTO 不超过 4 小时，作为待确认运行目标，必须通过恢复演练证明。</w:t>
      </w:r>
    </w:p>
    <w:p>
      <w:r>
        <w:t>每日备份数据库、原始文件及其校验清单、配置与版本信息；备份完成不等于恢复可用。发布前从备份恢复到隔离环境，核验报告到原行引用、权限和任务去重；禁止在恢复演练中向生产发通知或调用外部模型。磁盘接近上限时停止新导入并提示，避免继续写入造成数据损坏。</w:t>
      </w:r>
    </w:p>
    <w:p>
      <w:pPr>
        <w:pStyle w:val="Heading1"/>
      </w:pPr>
      <w:r>
        <w:t>11 完整技术方案与选型决策</w:t>
      </w:r>
    </w:p>
    <w:p>
      <w:pPr>
        <w:pStyle w:val="Heading2"/>
      </w:pPr>
      <w:r>
        <w:t>11.1 推荐组合及决策依据</w:t>
      </w:r>
    </w:p>
    <w:p>
      <w:r>
        <w:t>推荐采用 Python、Django、Django REST Framework、PostgreSQL、Celery、Redis、React、TypeScript、Ant Design 和 Docker Compose。标准诊断采用 Python 固定流程，自主调查采用 LangGraph StateGraph 与 PostgreSQL checkpointer，模型接入采用 HTTPX 与 Pydantic；不增加 LangChain create_agent、独立向量数据库或微服务。以下主体组件组合已由用户确认，兼容性和业务能力仍须逐项验证；“已查阅官方文档”不等于已经完成组件兼容、业务评测或容量验证。</w:t>
      </w:r>
    </w:p>
    <w:p>
      <w:r>
        <w:t>选型依据是小团队、单服务器、文件接入、固定规则、可追溯结果和持续多天的人工处理。业务复杂性集中在数据质量与状态一致性；本次已确认开放式自主调查及受控内部写入；第 11.3 节区分单次调用、固定流程与 Agent，第 11.12 节定义新增调查的执行契约。没有把任何本次范围内功能推迟到后续产品版本。</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1843"/>
        <w:gridCol w:w="4493"/>
        <w:gridCol w:w="3888"/>
      </w:tblGrid>
      <w:tr>
        <w:trPr>
          <w:cantSplit/>
          <w:tblHeader/>
        </w:trPr>
        <w:tc>
          <w:tcPr>
            <w:tcW w:type="dxa" w:w="1843"/>
            <w:vAlign w:val="center"/>
            <w:tcMar>
              <w:top w:w="80" w:type="dxa"/>
              <w:bottom w:w="80" w:type="dxa"/>
              <w:left w:w="90" w:type="dxa"/>
              <w:right w:w="90" w:type="dxa"/>
            </w:tcMar>
            <w:tcBorders>
              <w:bottom w:val="single" w:sz="4" w:color="D7DCE0"/>
            </w:tcBorders>
            <w:shd w:fill="EEF1F3"/>
          </w:tcPr>
          <w:p>
            <w:pPr>
              <w:keepNext/>
              <w:spacing w:after="0" w:line="276" w:lineRule="auto"/>
            </w:pPr>
            <w:r>
              <w:rPr>
                <w:b/>
                <w:sz w:val="20"/>
              </w:rPr>
              <w:t>层次</w:t>
            </w:r>
          </w:p>
        </w:tc>
        <w:tc>
          <w:tcPr>
            <w:tcW w:type="dxa" w:w="4493"/>
            <w:vAlign w:val="center"/>
            <w:tcMar>
              <w:top w:w="80" w:type="dxa"/>
              <w:bottom w:w="80" w:type="dxa"/>
              <w:left w:w="90" w:type="dxa"/>
              <w:right w:w="90" w:type="dxa"/>
            </w:tcMar>
            <w:tcBorders>
              <w:bottom w:val="single" w:sz="4" w:color="D7DCE0"/>
            </w:tcBorders>
            <w:shd w:fill="EEF1F3"/>
          </w:tcPr>
          <w:p>
            <w:pPr>
              <w:keepNext/>
              <w:spacing w:after="0" w:line="276" w:lineRule="auto"/>
            </w:pPr>
            <w:r>
              <w:rPr>
                <w:b/>
                <w:sz w:val="20"/>
              </w:rPr>
              <w:t>推荐组件及用途</w:t>
            </w:r>
          </w:p>
        </w:tc>
        <w:tc>
          <w:tcPr>
            <w:tcW w:type="dxa" w:w="3888"/>
            <w:vAlign w:val="center"/>
            <w:tcMar>
              <w:top w:w="80" w:type="dxa"/>
              <w:bottom w:w="80" w:type="dxa"/>
              <w:left w:w="90" w:type="dxa"/>
              <w:right w:w="90" w:type="dxa"/>
            </w:tcMar>
            <w:tcBorders>
              <w:bottom w:val="single" w:sz="4" w:color="D7DCE0"/>
            </w:tcBorders>
            <w:shd w:fill="EEF1F3"/>
          </w:tcPr>
          <w:p>
            <w:pPr>
              <w:keepNext/>
              <w:spacing w:after="0" w:line="276" w:lineRule="auto"/>
            </w:pPr>
            <w:r>
              <w:rPr>
                <w:b/>
                <w:sz w:val="20"/>
              </w:rPr>
              <w:t>备选与取舍</w:t>
            </w:r>
          </w:p>
        </w:tc>
      </w:tr>
      <w:tr>
        <w:trPr>
          <w:cantSplit/>
        </w:trPr>
        <w:tc>
          <w:tcPr>
            <w:tcW w:type="dxa" w:w="1843"/>
            <w:vAlign w:val="center"/>
            <w:tcMar>
              <w:top w:w="80" w:type="dxa"/>
              <w:bottom w:w="80" w:type="dxa"/>
              <w:left w:w="90" w:type="dxa"/>
              <w:right w:w="90" w:type="dxa"/>
            </w:tcMar>
            <w:tcBorders>
              <w:bottom w:val="single" w:sz="4" w:color="D7DCE0"/>
            </w:tcBorders>
          </w:tcPr>
          <w:p>
            <w:pPr>
              <w:keepNext w:val="0"/>
              <w:spacing w:after="0" w:line="276" w:lineRule="auto"/>
            </w:pPr>
            <w:r>
              <w:rPr>
                <w:sz w:val="20"/>
              </w:rPr>
              <w:t>语言与依赖</w:t>
            </w:r>
          </w:p>
        </w:tc>
        <w:tc>
          <w:tcPr>
            <w:tcW w:type="dxa" w:w="4493"/>
            <w:vAlign w:val="center"/>
            <w:tcMar>
              <w:top w:w="80" w:type="dxa"/>
              <w:bottom w:w="80" w:type="dxa"/>
              <w:left w:w="90" w:type="dxa"/>
              <w:right w:w="90" w:type="dxa"/>
            </w:tcMar>
            <w:tcBorders>
              <w:bottom w:val="single" w:sz="4" w:color="D7DCE0"/>
            </w:tcBorders>
          </w:tcPr>
          <w:p>
            <w:pPr>
              <w:keepNext w:val="0"/>
              <w:spacing w:after="0" w:line="276" w:lineRule="auto"/>
            </w:pPr>
            <w:r>
              <w:rPr>
                <w:sz w:val="20"/>
              </w:rPr>
              <w:t>Python 3.13、uv；TypeScript、Node.js 24 LTS、pnpm</w:t>
            </w:r>
          </w:p>
        </w:tc>
        <w:tc>
          <w:tcPr>
            <w:tcW w:type="dxa" w:w="3888"/>
            <w:vAlign w:val="center"/>
            <w:tcMar>
              <w:top w:w="80" w:type="dxa"/>
              <w:bottom w:w="80" w:type="dxa"/>
              <w:left w:w="90" w:type="dxa"/>
              <w:right w:w="90" w:type="dxa"/>
            </w:tcMar>
            <w:tcBorders>
              <w:bottom w:val="single" w:sz="4" w:color="D7DCE0"/>
            </w:tcBorders>
          </w:tcPr>
          <w:p>
            <w:pPr>
              <w:keepNext w:val="0"/>
              <w:spacing w:after="0" w:line="276" w:lineRule="auto"/>
            </w:pPr>
            <w:r>
              <w:rPr>
                <w:sz w:val="20"/>
              </w:rPr>
              <w:t>两种语言分别服务计算与浏览器界面；不增加 Java 或 Go 服务</w:t>
            </w:r>
          </w:p>
        </w:tc>
      </w:tr>
      <w:tr>
        <w:trPr>
          <w:cantSplit/>
        </w:trPr>
        <w:tc>
          <w:tcPr>
            <w:tcW w:type="dxa" w:w="1843"/>
            <w:vAlign w:val="center"/>
            <w:tcMar>
              <w:top w:w="80" w:type="dxa"/>
              <w:bottom w:w="80" w:type="dxa"/>
              <w:left w:w="90" w:type="dxa"/>
              <w:right w:w="90" w:type="dxa"/>
            </w:tcMar>
            <w:tcBorders>
              <w:bottom w:val="single" w:sz="4" w:color="D7DCE0"/>
            </w:tcBorders>
          </w:tcPr>
          <w:p>
            <w:pPr>
              <w:keepNext w:val="0"/>
              <w:spacing w:after="0" w:line="276" w:lineRule="auto"/>
            </w:pPr>
            <w:r>
              <w:rPr>
                <w:sz w:val="20"/>
              </w:rPr>
              <w:t>Web 后端</w:t>
            </w:r>
          </w:p>
        </w:tc>
        <w:tc>
          <w:tcPr>
            <w:tcW w:type="dxa" w:w="4493"/>
            <w:vAlign w:val="center"/>
            <w:tcMar>
              <w:top w:w="80" w:type="dxa"/>
              <w:bottom w:w="80" w:type="dxa"/>
              <w:left w:w="90" w:type="dxa"/>
              <w:right w:w="90" w:type="dxa"/>
            </w:tcMar>
            <w:tcBorders>
              <w:bottom w:val="single" w:sz="4" w:color="D7DCE0"/>
            </w:tcBorders>
          </w:tcPr>
          <w:p>
            <w:pPr>
              <w:keepNext w:val="0"/>
              <w:spacing w:after="0" w:line="276" w:lineRule="auto"/>
            </w:pPr>
            <w:r>
              <w:rPr>
                <w:sz w:val="20"/>
              </w:rPr>
              <w:t>Django 5.2 LTS、DRF、Gunicorn WSGI</w:t>
            </w:r>
          </w:p>
        </w:tc>
        <w:tc>
          <w:tcPr>
            <w:tcW w:type="dxa" w:w="3888"/>
            <w:vAlign w:val="center"/>
            <w:tcMar>
              <w:top w:w="80" w:type="dxa"/>
              <w:bottom w:w="80" w:type="dxa"/>
              <w:left w:w="90" w:type="dxa"/>
              <w:right w:w="90" w:type="dxa"/>
            </w:tcMar>
            <w:tcBorders>
              <w:bottom w:val="single" w:sz="4" w:color="D7DCE0"/>
            </w:tcBorders>
          </w:tcPr>
          <w:p>
            <w:pPr>
              <w:keepNext w:val="0"/>
              <w:spacing w:after="0" w:line="276" w:lineRule="auto"/>
            </w:pPr>
            <w:r>
              <w:rPr>
                <w:sz w:val="20"/>
              </w:rPr>
              <w:t>FastAPI 可行，但本系统更需要事务、权限与管理能力；不另搭第二套 ORM 与迁移</w:t>
            </w:r>
          </w:p>
        </w:tc>
      </w:tr>
      <w:tr>
        <w:trPr>
          <w:cantSplit/>
        </w:trPr>
        <w:tc>
          <w:tcPr>
            <w:tcW w:type="dxa" w:w="1843"/>
            <w:vAlign w:val="center"/>
            <w:tcMar>
              <w:top w:w="80" w:type="dxa"/>
              <w:bottom w:w="80" w:type="dxa"/>
              <w:left w:w="90" w:type="dxa"/>
              <w:right w:w="90" w:type="dxa"/>
            </w:tcMar>
            <w:tcBorders>
              <w:bottom w:val="single" w:sz="4" w:color="D7DCE0"/>
            </w:tcBorders>
          </w:tcPr>
          <w:p>
            <w:pPr>
              <w:keepNext w:val="0"/>
              <w:spacing w:after="0" w:line="276" w:lineRule="auto"/>
            </w:pPr>
            <w:r>
              <w:rPr>
                <w:sz w:val="20"/>
              </w:rPr>
              <w:t>数据访问</w:t>
            </w:r>
          </w:p>
        </w:tc>
        <w:tc>
          <w:tcPr>
            <w:tcW w:type="dxa" w:w="4493"/>
            <w:vAlign w:val="center"/>
            <w:tcMar>
              <w:top w:w="80" w:type="dxa"/>
              <w:bottom w:w="80" w:type="dxa"/>
              <w:left w:w="90" w:type="dxa"/>
              <w:right w:w="90" w:type="dxa"/>
            </w:tcMar>
            <w:tcBorders>
              <w:bottom w:val="single" w:sz="4" w:color="D7DCE0"/>
            </w:tcBorders>
          </w:tcPr>
          <w:p>
            <w:pPr>
              <w:keepNext w:val="0"/>
              <w:spacing w:after="0" w:line="276" w:lineRule="auto"/>
            </w:pPr>
            <w:r>
              <w:rPr>
                <w:sz w:val="20"/>
              </w:rPr>
              <w:t>Django ORM、Django migrations、psycopg 3</w:t>
            </w:r>
          </w:p>
        </w:tc>
        <w:tc>
          <w:tcPr>
            <w:tcW w:type="dxa" w:w="3888"/>
            <w:vAlign w:val="center"/>
            <w:tcMar>
              <w:top w:w="80" w:type="dxa"/>
              <w:bottom w:w="80" w:type="dxa"/>
              <w:left w:w="90" w:type="dxa"/>
              <w:right w:w="90" w:type="dxa"/>
            </w:tcMar>
            <w:tcBorders>
              <w:bottom w:val="single" w:sz="4" w:color="D7DCE0"/>
            </w:tcBorders>
          </w:tcPr>
          <w:p>
            <w:pPr>
              <w:keepNext w:val="0"/>
              <w:spacing w:after="0" w:line="276" w:lineRule="auto"/>
            </w:pPr>
            <w:r>
              <w:rPr>
                <w:sz w:val="20"/>
              </w:rPr>
              <w:t>批量导入使用参数化 COPY 到暂存表，复杂统计使用审查过的参数化 SQL；不引入 SQLAlchemy</w:t>
            </w:r>
          </w:p>
        </w:tc>
      </w:tr>
      <w:tr>
        <w:trPr>
          <w:cantSplit/>
        </w:trPr>
        <w:tc>
          <w:tcPr>
            <w:tcW w:type="dxa" w:w="1843"/>
            <w:vAlign w:val="center"/>
            <w:tcMar>
              <w:top w:w="80" w:type="dxa"/>
              <w:bottom w:w="80" w:type="dxa"/>
              <w:left w:w="90" w:type="dxa"/>
              <w:right w:w="90" w:type="dxa"/>
            </w:tcMar>
            <w:tcBorders>
              <w:bottom w:val="single" w:sz="4" w:color="D7DCE0"/>
            </w:tcBorders>
          </w:tcPr>
          <w:p>
            <w:pPr>
              <w:keepNext w:val="0"/>
              <w:spacing w:after="0" w:line="276" w:lineRule="auto"/>
            </w:pPr>
            <w:r>
              <w:rPr>
                <w:sz w:val="20"/>
              </w:rPr>
              <w:t>主存储</w:t>
            </w:r>
          </w:p>
        </w:tc>
        <w:tc>
          <w:tcPr>
            <w:tcW w:type="dxa" w:w="4493"/>
            <w:vAlign w:val="center"/>
            <w:tcMar>
              <w:top w:w="80" w:type="dxa"/>
              <w:bottom w:w="80" w:type="dxa"/>
              <w:left w:w="90" w:type="dxa"/>
              <w:right w:w="90" w:type="dxa"/>
            </w:tcMar>
            <w:tcBorders>
              <w:bottom w:val="single" w:sz="4" w:color="D7DCE0"/>
            </w:tcBorders>
          </w:tcPr>
          <w:p>
            <w:pPr>
              <w:keepNext w:val="0"/>
              <w:spacing w:after="0" w:line="276" w:lineRule="auto"/>
            </w:pPr>
            <w:r>
              <w:rPr>
                <w:sz w:val="20"/>
              </w:rPr>
              <w:t>PostgreSQL 18、JSONB 扩展字段、B-tree 和 GIN 索引</w:t>
            </w:r>
          </w:p>
        </w:tc>
        <w:tc>
          <w:tcPr>
            <w:tcW w:type="dxa" w:w="3888"/>
            <w:vAlign w:val="center"/>
            <w:tcMar>
              <w:top w:w="80" w:type="dxa"/>
              <w:bottom w:w="80" w:type="dxa"/>
              <w:left w:w="90" w:type="dxa"/>
              <w:right w:w="90" w:type="dxa"/>
            </w:tcMar>
            <w:tcBorders>
              <w:bottom w:val="single" w:sz="4" w:color="D7DCE0"/>
            </w:tcBorders>
          </w:tcPr>
          <w:p>
            <w:pPr>
              <w:keepNext w:val="0"/>
              <w:spacing w:after="0" w:line="276" w:lineRule="auto"/>
            </w:pPr>
            <w:r>
              <w:rPr>
                <w:sz w:val="20"/>
              </w:rPr>
              <w:t>SQLite 不作为多人服务主库；当前规模不增加 ClickHouse、数仓或读写分离</w:t>
            </w:r>
          </w:p>
        </w:tc>
      </w:tr>
      <w:tr>
        <w:trPr>
          <w:cantSplit/>
        </w:trPr>
        <w:tc>
          <w:tcPr>
            <w:tcW w:type="dxa" w:w="1843"/>
            <w:vAlign w:val="center"/>
            <w:tcMar>
              <w:top w:w="80" w:type="dxa"/>
              <w:bottom w:w="80" w:type="dxa"/>
              <w:left w:w="90" w:type="dxa"/>
              <w:right w:w="90" w:type="dxa"/>
            </w:tcMar>
            <w:tcBorders>
              <w:bottom w:val="single" w:sz="4" w:color="D7DCE0"/>
            </w:tcBorders>
          </w:tcPr>
          <w:p>
            <w:pPr>
              <w:keepNext w:val="0"/>
              <w:spacing w:after="0" w:line="276" w:lineRule="auto"/>
            </w:pPr>
            <w:r>
              <w:rPr>
                <w:sz w:val="20"/>
              </w:rPr>
              <w:t>任务执行</w:t>
            </w:r>
          </w:p>
        </w:tc>
        <w:tc>
          <w:tcPr>
            <w:tcW w:type="dxa" w:w="4493"/>
            <w:vAlign w:val="center"/>
            <w:tcMar>
              <w:top w:w="80" w:type="dxa"/>
              <w:bottom w:w="80" w:type="dxa"/>
              <w:left w:w="90" w:type="dxa"/>
              <w:right w:w="90" w:type="dxa"/>
            </w:tcMar>
            <w:tcBorders>
              <w:bottom w:val="single" w:sz="4" w:color="D7DCE0"/>
            </w:tcBorders>
          </w:tcPr>
          <w:p>
            <w:pPr>
              <w:keepNext w:val="0"/>
              <w:spacing w:after="0" w:line="276" w:lineRule="auto"/>
            </w:pPr>
            <w:r>
              <w:rPr>
                <w:sz w:val="20"/>
              </w:rPr>
              <w:t>Celery 5.6、Redis、单实例 Celery Beat</w:t>
            </w:r>
          </w:p>
        </w:tc>
        <w:tc>
          <w:tcPr>
            <w:tcW w:type="dxa" w:w="3888"/>
            <w:vAlign w:val="center"/>
            <w:tcMar>
              <w:top w:w="80" w:type="dxa"/>
              <w:bottom w:w="80" w:type="dxa"/>
              <w:left w:w="90" w:type="dxa"/>
              <w:right w:w="90" w:type="dxa"/>
            </w:tcMar>
            <w:tcBorders>
              <w:bottom w:val="single" w:sz="4" w:color="D7DCE0"/>
            </w:tcBorders>
          </w:tcPr>
          <w:p>
            <w:pPr>
              <w:keepNext w:val="0"/>
              <w:spacing w:after="0" w:line="276" w:lineRule="auto"/>
            </w:pPr>
            <w:r>
              <w:rPr>
                <w:sz w:val="20"/>
              </w:rPr>
              <w:t>Celery 执行单个任务；不用 Canvas 再保存一套诊断步骤依赖，也不同时引入 APScheduler</w:t>
            </w:r>
          </w:p>
        </w:tc>
      </w:tr>
      <w:tr>
        <w:trPr>
          <w:cantSplit/>
        </w:trPr>
        <w:tc>
          <w:tcPr>
            <w:tcW w:type="dxa" w:w="1843"/>
            <w:vAlign w:val="center"/>
            <w:tcMar>
              <w:top w:w="80" w:type="dxa"/>
              <w:bottom w:w="80" w:type="dxa"/>
              <w:left w:w="90" w:type="dxa"/>
              <w:right w:w="90" w:type="dxa"/>
            </w:tcMar>
            <w:tcBorders>
              <w:bottom w:val="single" w:sz="4" w:color="D7DCE0"/>
            </w:tcBorders>
          </w:tcPr>
          <w:p>
            <w:pPr>
              <w:keepNext w:val="0"/>
              <w:spacing w:after="0" w:line="276" w:lineRule="auto"/>
            </w:pPr>
            <w:r>
              <w:rPr>
                <w:sz w:val="20"/>
              </w:rPr>
              <w:t>诊断流程</w:t>
            </w:r>
          </w:p>
        </w:tc>
        <w:tc>
          <w:tcPr>
            <w:tcW w:type="dxa" w:w="4493"/>
            <w:vAlign w:val="center"/>
            <w:tcMar>
              <w:top w:w="80" w:type="dxa"/>
              <w:bottom w:w="80" w:type="dxa"/>
              <w:left w:w="90" w:type="dxa"/>
              <w:right w:w="90" w:type="dxa"/>
            </w:tcMar>
            <w:tcBorders>
              <w:bottom w:val="single" w:sz="4" w:color="D7DCE0"/>
            </w:tcBorders>
          </w:tcPr>
          <w:p>
            <w:pPr>
              <w:keepNext w:val="0"/>
              <w:spacing w:after="0" w:line="276" w:lineRule="auto"/>
            </w:pPr>
            <w:r>
              <w:rPr>
                <w:sz w:val="20"/>
              </w:rPr>
              <w:t>Python 固定检查；LangGraph StateGraph 自主调查；langgraph-checkpoint-postgres</w:t>
            </w:r>
          </w:p>
        </w:tc>
        <w:tc>
          <w:tcPr>
            <w:tcW w:type="dxa" w:w="3888"/>
            <w:vAlign w:val="center"/>
            <w:tcMar>
              <w:top w:w="80" w:type="dxa"/>
              <w:bottom w:w="80" w:type="dxa"/>
              <w:left w:w="90" w:type="dxa"/>
              <w:right w:w="90" w:type="dxa"/>
            </w:tcMar>
            <w:tcBorders>
              <w:bottom w:val="single" w:sz="4" w:color="D7DCE0"/>
            </w:tcBorders>
          </w:tcPr>
          <w:p>
            <w:pPr>
              <w:keepNext w:val="0"/>
              <w:spacing w:after="0" w:line="276" w:lineRule="auto"/>
            </w:pPr>
            <w:r>
              <w:rPr>
                <w:sz w:val="20"/>
              </w:rPr>
              <w:t>固定检查保存 StepResult；自主调查由图 checkpoint 恢复，两者不重复驱动同一阶段</w:t>
            </w:r>
          </w:p>
        </w:tc>
      </w:tr>
      <w:tr>
        <w:trPr>
          <w:cantSplit/>
        </w:trPr>
        <w:tc>
          <w:tcPr>
            <w:tcW w:type="dxa" w:w="1843"/>
            <w:vAlign w:val="center"/>
            <w:tcMar>
              <w:top w:w="80" w:type="dxa"/>
              <w:bottom w:w="80" w:type="dxa"/>
              <w:left w:w="90" w:type="dxa"/>
              <w:right w:w="90" w:type="dxa"/>
            </w:tcMar>
            <w:tcBorders>
              <w:bottom w:val="single" w:sz="4" w:color="D7DCE0"/>
            </w:tcBorders>
          </w:tcPr>
          <w:p>
            <w:pPr>
              <w:keepNext w:val="0"/>
              <w:spacing w:after="0" w:line="276" w:lineRule="auto"/>
            </w:pPr>
            <w:r>
              <w:rPr>
                <w:sz w:val="20"/>
              </w:rPr>
              <w:t>模型接入</w:t>
            </w:r>
          </w:p>
        </w:tc>
        <w:tc>
          <w:tcPr>
            <w:tcW w:type="dxa" w:w="4493"/>
            <w:vAlign w:val="center"/>
            <w:tcMar>
              <w:top w:w="80" w:type="dxa"/>
              <w:bottom w:w="80" w:type="dxa"/>
              <w:left w:w="90" w:type="dxa"/>
              <w:right w:w="90" w:type="dxa"/>
            </w:tcMar>
            <w:tcBorders>
              <w:bottom w:val="single" w:sz="4" w:color="D7DCE0"/>
            </w:tcBorders>
          </w:tcPr>
          <w:p>
            <w:pPr>
              <w:keepNext w:val="0"/>
              <w:spacing w:after="0" w:line="276" w:lineRule="auto"/>
            </w:pPr>
            <w:r>
              <w:rPr>
                <w:sz w:val="20"/>
              </w:rPr>
              <w:t>HTTPX、Pydantic 2、版本化提示及模型配置</w:t>
            </w:r>
          </w:p>
        </w:tc>
        <w:tc>
          <w:tcPr>
            <w:tcW w:type="dxa" w:w="3888"/>
            <w:vAlign w:val="center"/>
            <w:tcMar>
              <w:top w:w="80" w:type="dxa"/>
              <w:bottom w:w="80" w:type="dxa"/>
              <w:left w:w="90" w:type="dxa"/>
              <w:right w:w="90" w:type="dxa"/>
            </w:tcMar>
            <w:tcBorders>
              <w:bottom w:val="single" w:sz="4" w:color="D7DCE0"/>
            </w:tcBorders>
          </w:tcPr>
          <w:p>
            <w:pPr>
              <w:keepNext w:val="0"/>
              <w:spacing w:after="0" w:line="276" w:lineRule="auto"/>
            </w:pPr>
            <w:r>
              <w:rPr>
                <w:sz w:val="20"/>
              </w:rPr>
              <w:t>不引入 LangChain Agent；标准三个业务接口加 decide_investigation 调查决策接口，供应商协议由适配器处理</w:t>
            </w:r>
          </w:p>
        </w:tc>
      </w:tr>
      <w:tr>
        <w:trPr>
          <w:cantSplit/>
        </w:trPr>
        <w:tc>
          <w:tcPr>
            <w:tcW w:type="dxa" w:w="1843"/>
            <w:vAlign w:val="center"/>
            <w:tcMar>
              <w:top w:w="80" w:type="dxa"/>
              <w:bottom w:w="80" w:type="dxa"/>
              <w:left w:w="90" w:type="dxa"/>
              <w:right w:w="90" w:type="dxa"/>
            </w:tcMar>
            <w:tcBorders>
              <w:bottom w:val="single" w:sz="4" w:color="D7DCE0"/>
            </w:tcBorders>
          </w:tcPr>
          <w:p>
            <w:pPr>
              <w:keepNext w:val="0"/>
              <w:spacing w:after="0" w:line="276" w:lineRule="auto"/>
            </w:pPr>
            <w:r>
              <w:rPr>
                <w:sz w:val="20"/>
              </w:rPr>
              <w:t>指标统计</w:t>
            </w:r>
          </w:p>
        </w:tc>
        <w:tc>
          <w:tcPr>
            <w:tcW w:type="dxa" w:w="4493"/>
            <w:vAlign w:val="center"/>
            <w:tcMar>
              <w:top w:w="80" w:type="dxa"/>
              <w:bottom w:w="80" w:type="dxa"/>
              <w:left w:w="90" w:type="dxa"/>
              <w:right w:w="90" w:type="dxa"/>
            </w:tcMar>
            <w:tcBorders>
              <w:bottom w:val="single" w:sz="4" w:color="D7DCE0"/>
            </w:tcBorders>
          </w:tcPr>
          <w:p>
            <w:pPr>
              <w:keepNext w:val="0"/>
              <w:spacing w:after="0" w:line="276" w:lineRule="auto"/>
            </w:pPr>
            <w:r>
              <w:rPr>
                <w:sz w:val="20"/>
              </w:rPr>
              <w:t>PostgreSQL 聚合、Decimal、SciPy、statsmodels</w:t>
            </w:r>
          </w:p>
        </w:tc>
        <w:tc>
          <w:tcPr>
            <w:tcW w:type="dxa" w:w="3888"/>
            <w:vAlign w:val="center"/>
            <w:tcMar>
              <w:top w:w="80" w:type="dxa"/>
              <w:bottom w:w="80" w:type="dxa"/>
              <w:left w:w="90" w:type="dxa"/>
              <w:right w:w="90" w:type="dxa"/>
            </w:tcMar>
            <w:tcBorders>
              <w:bottom w:val="single" w:sz="4" w:color="D7DCE0"/>
            </w:tcBorders>
          </w:tcPr>
          <w:p>
            <w:pPr>
              <w:keepNext w:val="0"/>
              <w:spacing w:after="0" w:line="276" w:lineRule="auto"/>
            </w:pPr>
            <w:r>
              <w:rPr>
                <w:sz w:val="20"/>
              </w:rPr>
              <w:t>不使用 LLM 算数；不引入 Spark；Pandas 不作必须依赖或整库内存计算主路径</w:t>
            </w:r>
          </w:p>
        </w:tc>
      </w:tr>
      <w:tr>
        <w:trPr>
          <w:cantSplit/>
        </w:trPr>
        <w:tc>
          <w:tcPr>
            <w:tcW w:type="dxa" w:w="1843"/>
            <w:vAlign w:val="center"/>
            <w:tcMar>
              <w:top w:w="80" w:type="dxa"/>
              <w:bottom w:w="80" w:type="dxa"/>
              <w:left w:w="90" w:type="dxa"/>
              <w:right w:w="90" w:type="dxa"/>
            </w:tcMar>
            <w:tcBorders>
              <w:bottom w:val="single" w:sz="4" w:color="D7DCE0"/>
            </w:tcBorders>
          </w:tcPr>
          <w:p>
            <w:pPr>
              <w:keepNext w:val="0"/>
              <w:spacing w:after="0" w:line="276" w:lineRule="auto"/>
            </w:pPr>
            <w:r>
              <w:rPr>
                <w:sz w:val="20"/>
              </w:rPr>
              <w:t>证据检索</w:t>
            </w:r>
          </w:p>
        </w:tc>
        <w:tc>
          <w:tcPr>
            <w:tcW w:type="dxa" w:w="4493"/>
            <w:vAlign w:val="center"/>
            <w:tcMar>
              <w:top w:w="80" w:type="dxa"/>
              <w:bottom w:w="80" w:type="dxa"/>
              <w:left w:w="90" w:type="dxa"/>
              <w:right w:w="90" w:type="dxa"/>
            </w:tcMar>
            <w:tcBorders>
              <w:bottom w:val="single" w:sz="4" w:color="D7DCE0"/>
            </w:tcBorders>
          </w:tcPr>
          <w:p>
            <w:pPr>
              <w:keepNext w:val="0"/>
              <w:spacing w:after="0" w:line="276" w:lineRule="auto"/>
            </w:pPr>
            <w:r>
              <w:rPr>
                <w:sz w:val="20"/>
              </w:rPr>
              <w:t>PostgreSQL 全文检索、应用层中英文分词、别名词典</w:t>
            </w:r>
          </w:p>
        </w:tc>
        <w:tc>
          <w:tcPr>
            <w:tcW w:type="dxa" w:w="3888"/>
            <w:vAlign w:val="center"/>
            <w:tcMar>
              <w:top w:w="80" w:type="dxa"/>
              <w:bottom w:w="80" w:type="dxa"/>
              <w:left w:w="90" w:type="dxa"/>
              <w:right w:w="90" w:type="dxa"/>
            </w:tcMar>
            <w:tcBorders>
              <w:bottom w:val="single" w:sz="4" w:color="D7DCE0"/>
            </w:tcBorders>
          </w:tcPr>
          <w:p>
            <w:pPr>
              <w:keepNext w:val="0"/>
              <w:spacing w:after="0" w:line="276" w:lineRule="auto"/>
            </w:pPr>
            <w:r>
              <w:rPr>
                <w:sz w:val="20"/>
              </w:rPr>
              <w:t>默认无向量服务；检索验收未达标时在冻结前调整方案，不以“以后优化”通过验收</w:t>
            </w:r>
          </w:p>
        </w:tc>
      </w:tr>
      <w:tr>
        <w:trPr>
          <w:cantSplit/>
        </w:trPr>
        <w:tc>
          <w:tcPr>
            <w:tcW w:type="dxa" w:w="1843"/>
            <w:vAlign w:val="center"/>
            <w:tcMar>
              <w:top w:w="80" w:type="dxa"/>
              <w:bottom w:w="80" w:type="dxa"/>
              <w:left w:w="90" w:type="dxa"/>
              <w:right w:w="90" w:type="dxa"/>
            </w:tcMar>
            <w:tcBorders>
              <w:bottom w:val="single" w:sz="4" w:color="D7DCE0"/>
            </w:tcBorders>
          </w:tcPr>
          <w:p>
            <w:pPr>
              <w:keepNext w:val="0"/>
              <w:spacing w:after="0" w:line="276" w:lineRule="auto"/>
            </w:pPr>
            <w:r>
              <w:rPr>
                <w:sz w:val="20"/>
              </w:rPr>
              <w:t>前端</w:t>
            </w:r>
          </w:p>
        </w:tc>
        <w:tc>
          <w:tcPr>
            <w:tcW w:type="dxa" w:w="4493"/>
            <w:vAlign w:val="center"/>
            <w:tcMar>
              <w:top w:w="80" w:type="dxa"/>
              <w:bottom w:w="80" w:type="dxa"/>
              <w:left w:w="90" w:type="dxa"/>
              <w:right w:w="90" w:type="dxa"/>
            </w:tcMar>
            <w:tcBorders>
              <w:bottom w:val="single" w:sz="4" w:color="D7DCE0"/>
            </w:tcBorders>
          </w:tcPr>
          <w:p>
            <w:pPr>
              <w:keepNext w:val="0"/>
              <w:spacing w:after="0" w:line="276" w:lineRule="auto"/>
            </w:pPr>
            <w:r>
              <w:rPr>
                <w:sz w:val="20"/>
              </w:rPr>
              <w:t>React 19、TypeScript、Vite、Ant Design 6、React Router</w:t>
            </w:r>
          </w:p>
        </w:tc>
        <w:tc>
          <w:tcPr>
            <w:tcW w:type="dxa" w:w="3888"/>
            <w:vAlign w:val="center"/>
            <w:tcMar>
              <w:top w:w="80" w:type="dxa"/>
              <w:bottom w:w="80" w:type="dxa"/>
              <w:left w:w="90" w:type="dxa"/>
              <w:right w:w="90" w:type="dxa"/>
            </w:tcMar>
            <w:tcBorders>
              <w:bottom w:val="single" w:sz="4" w:color="D7DCE0"/>
            </w:tcBorders>
          </w:tcPr>
          <w:p>
            <w:pPr>
              <w:keepNext w:val="0"/>
              <w:spacing w:after="0" w:line="276" w:lineRule="auto"/>
            </w:pPr>
            <w:r>
              <w:rPr>
                <w:sz w:val="20"/>
              </w:rPr>
              <w:t>内部工作台无需 SSR，故不引入 Next.js；Vue 可替代，但推荐方案只保留 React 一条主线</w:t>
            </w:r>
          </w:p>
        </w:tc>
      </w:tr>
      <w:tr>
        <w:trPr>
          <w:cantSplit/>
        </w:trPr>
        <w:tc>
          <w:tcPr>
            <w:tcW w:type="dxa" w:w="1843"/>
            <w:vAlign w:val="center"/>
            <w:tcMar>
              <w:top w:w="80" w:type="dxa"/>
              <w:bottom w:w="80" w:type="dxa"/>
              <w:left w:w="90" w:type="dxa"/>
              <w:right w:w="90" w:type="dxa"/>
            </w:tcMar>
            <w:tcBorders>
              <w:bottom w:val="single" w:sz="4" w:color="D7DCE0"/>
            </w:tcBorders>
          </w:tcPr>
          <w:p>
            <w:pPr>
              <w:keepNext w:val="0"/>
              <w:spacing w:after="0" w:line="276" w:lineRule="auto"/>
            </w:pPr>
            <w:r>
              <w:rPr>
                <w:sz w:val="20"/>
              </w:rPr>
              <w:t>请求与图表</w:t>
            </w:r>
          </w:p>
        </w:tc>
        <w:tc>
          <w:tcPr>
            <w:tcW w:type="dxa" w:w="4493"/>
            <w:vAlign w:val="center"/>
            <w:tcMar>
              <w:top w:w="80" w:type="dxa"/>
              <w:bottom w:w="80" w:type="dxa"/>
              <w:left w:w="90" w:type="dxa"/>
              <w:right w:w="90" w:type="dxa"/>
            </w:tcMar>
            <w:tcBorders>
              <w:bottom w:val="single" w:sz="4" w:color="D7DCE0"/>
            </w:tcBorders>
          </w:tcPr>
          <w:p>
            <w:pPr>
              <w:keepNext w:val="0"/>
              <w:spacing w:after="0" w:line="276" w:lineRule="auto"/>
            </w:pPr>
            <w:r>
              <w:rPr>
                <w:sz w:val="20"/>
              </w:rPr>
              <w:t>TanStack Query、生成的 API 类型、ECharts</w:t>
            </w:r>
          </w:p>
        </w:tc>
        <w:tc>
          <w:tcPr>
            <w:tcW w:type="dxa" w:w="3888"/>
            <w:vAlign w:val="center"/>
            <w:tcMar>
              <w:top w:w="80" w:type="dxa"/>
              <w:bottom w:w="80" w:type="dxa"/>
              <w:left w:w="90" w:type="dxa"/>
              <w:right w:w="90" w:type="dxa"/>
            </w:tcMar>
            <w:tcBorders>
              <w:bottom w:val="single" w:sz="4" w:color="D7DCE0"/>
            </w:tcBorders>
          </w:tcPr>
          <w:p>
            <w:pPr>
              <w:keepNext w:val="0"/>
              <w:spacing w:after="0" w:line="276" w:lineRule="auto"/>
            </w:pPr>
            <w:r>
              <w:rPr>
                <w:sz w:val="20"/>
              </w:rPr>
              <w:t>服务端数据统一缓存与失效；少量页面状态用 React，不另引入 Redux</w:t>
            </w:r>
          </w:p>
        </w:tc>
      </w:tr>
      <w:tr>
        <w:trPr>
          <w:cantSplit/>
        </w:trPr>
        <w:tc>
          <w:tcPr>
            <w:tcW w:type="dxa" w:w="1843"/>
            <w:vAlign w:val="center"/>
            <w:tcMar>
              <w:top w:w="80" w:type="dxa"/>
              <w:bottom w:w="80" w:type="dxa"/>
              <w:left w:w="90" w:type="dxa"/>
              <w:right w:w="90" w:type="dxa"/>
            </w:tcMar>
            <w:tcBorders>
              <w:bottom w:val="single" w:sz="4" w:color="D7DCE0"/>
            </w:tcBorders>
          </w:tcPr>
          <w:p>
            <w:pPr>
              <w:keepNext w:val="0"/>
              <w:spacing w:after="0" w:line="276" w:lineRule="auto"/>
            </w:pPr>
            <w:r>
              <w:rPr>
                <w:sz w:val="20"/>
              </w:rPr>
              <w:t>文件及导出</w:t>
            </w:r>
          </w:p>
        </w:tc>
        <w:tc>
          <w:tcPr>
            <w:tcW w:type="dxa" w:w="4493"/>
            <w:vAlign w:val="center"/>
            <w:tcMar>
              <w:top w:w="80" w:type="dxa"/>
              <w:bottom w:w="80" w:type="dxa"/>
              <w:left w:w="90" w:type="dxa"/>
              <w:right w:w="90" w:type="dxa"/>
            </w:tcMar>
            <w:tcBorders>
              <w:bottom w:val="single" w:sz="4" w:color="D7DCE0"/>
            </w:tcBorders>
          </w:tcPr>
          <w:p>
            <w:pPr>
              <w:keepNext w:val="0"/>
              <w:spacing w:after="0" w:line="276" w:lineRule="auto"/>
            </w:pPr>
            <w:r>
              <w:rPr>
                <w:sz w:val="20"/>
              </w:rPr>
              <w:t>持久卷、SHA-256、Python CSV、Django 模板、JSON</w:t>
            </w:r>
          </w:p>
        </w:tc>
        <w:tc>
          <w:tcPr>
            <w:tcW w:type="dxa" w:w="3888"/>
            <w:vAlign w:val="center"/>
            <w:tcMar>
              <w:top w:w="80" w:type="dxa"/>
              <w:bottom w:w="80" w:type="dxa"/>
              <w:left w:w="90" w:type="dxa"/>
              <w:right w:w="90" w:type="dxa"/>
            </w:tcMar>
            <w:tcBorders>
              <w:bottom w:val="single" w:sz="4" w:color="D7DCE0"/>
            </w:tcBorders>
          </w:tcPr>
          <w:p>
            <w:pPr>
              <w:keepNext w:val="0"/>
              <w:spacing w:after="0" w:line="276" w:lineRule="auto"/>
            </w:pPr>
            <w:r>
              <w:rPr>
                <w:sz w:val="20"/>
              </w:rPr>
              <w:t>CSV 与 HTML/JSON 满足需求；不增加在线 Word/PDF 渲染服务或 MinIO 集群</w:t>
            </w:r>
          </w:p>
        </w:tc>
      </w:tr>
      <w:tr>
        <w:trPr>
          <w:cantSplit/>
        </w:trPr>
        <w:tc>
          <w:tcPr>
            <w:tcW w:type="dxa" w:w="1843"/>
            <w:vAlign w:val="center"/>
            <w:tcMar>
              <w:top w:w="80" w:type="dxa"/>
              <w:bottom w:w="80" w:type="dxa"/>
              <w:left w:w="90" w:type="dxa"/>
              <w:right w:w="90" w:type="dxa"/>
            </w:tcMar>
            <w:tcBorders>
              <w:bottom w:val="single" w:sz="4" w:color="D7DCE0"/>
            </w:tcBorders>
          </w:tcPr>
          <w:p>
            <w:pPr>
              <w:keepNext w:val="0"/>
              <w:spacing w:after="0" w:line="276" w:lineRule="auto"/>
            </w:pPr>
            <w:r>
              <w:rPr>
                <w:sz w:val="20"/>
              </w:rPr>
              <w:t>服务入口</w:t>
            </w:r>
          </w:p>
        </w:tc>
        <w:tc>
          <w:tcPr>
            <w:tcW w:type="dxa" w:w="4493"/>
            <w:vAlign w:val="center"/>
            <w:tcMar>
              <w:top w:w="80" w:type="dxa"/>
              <w:bottom w:w="80" w:type="dxa"/>
              <w:left w:w="90" w:type="dxa"/>
              <w:right w:w="90" w:type="dxa"/>
            </w:tcMar>
            <w:tcBorders>
              <w:bottom w:val="single" w:sz="4" w:color="D7DCE0"/>
            </w:tcBorders>
          </w:tcPr>
          <w:p>
            <w:pPr>
              <w:keepNext w:val="0"/>
              <w:spacing w:after="0" w:line="276" w:lineRule="auto"/>
            </w:pPr>
            <w:r>
              <w:rPr>
                <w:sz w:val="20"/>
              </w:rPr>
              <w:t>Caddy 2、TLS、同源静态站点与 API</w:t>
            </w:r>
          </w:p>
        </w:tc>
        <w:tc>
          <w:tcPr>
            <w:tcW w:type="dxa" w:w="3888"/>
            <w:vAlign w:val="center"/>
            <w:tcMar>
              <w:top w:w="80" w:type="dxa"/>
              <w:bottom w:w="80" w:type="dxa"/>
              <w:left w:w="90" w:type="dxa"/>
              <w:right w:w="90" w:type="dxa"/>
            </w:tcMar>
            <w:tcBorders>
              <w:bottom w:val="single" w:sz="4" w:color="D7DCE0"/>
            </w:tcBorders>
          </w:tcPr>
          <w:p>
            <w:pPr>
              <w:keepNext w:val="0"/>
              <w:spacing w:after="0" w:line="276" w:lineRule="auto"/>
            </w:pPr>
            <w:r>
              <w:rPr>
                <w:sz w:val="20"/>
              </w:rPr>
              <w:t>Caddy 统一入口；不同时叠加 Nginx，浏览器无需跨域令牌方案</w:t>
            </w:r>
          </w:p>
        </w:tc>
      </w:tr>
      <w:tr>
        <w:trPr>
          <w:cantSplit/>
        </w:trPr>
        <w:tc>
          <w:tcPr>
            <w:tcW w:type="dxa" w:w="1843"/>
            <w:vAlign w:val="center"/>
            <w:tcMar>
              <w:top w:w="80" w:type="dxa"/>
              <w:bottom w:w="80" w:type="dxa"/>
              <w:left w:w="90" w:type="dxa"/>
              <w:right w:w="90" w:type="dxa"/>
            </w:tcMar>
            <w:tcBorders>
              <w:bottom w:val="single" w:sz="4" w:color="D7DCE0"/>
            </w:tcBorders>
          </w:tcPr>
          <w:p>
            <w:pPr>
              <w:keepNext w:val="0"/>
              <w:spacing w:after="0" w:line="276" w:lineRule="auto"/>
            </w:pPr>
            <w:r>
              <w:rPr>
                <w:sz w:val="20"/>
              </w:rPr>
              <w:t>部署恢复</w:t>
            </w:r>
          </w:p>
        </w:tc>
        <w:tc>
          <w:tcPr>
            <w:tcW w:type="dxa" w:w="4493"/>
            <w:vAlign w:val="center"/>
            <w:tcMar>
              <w:top w:w="80" w:type="dxa"/>
              <w:bottom w:w="80" w:type="dxa"/>
              <w:left w:w="90" w:type="dxa"/>
              <w:right w:w="90" w:type="dxa"/>
            </w:tcMar>
            <w:tcBorders>
              <w:bottom w:val="single" w:sz="4" w:color="D7DCE0"/>
            </w:tcBorders>
          </w:tcPr>
          <w:p>
            <w:pPr>
              <w:keepNext w:val="0"/>
              <w:spacing w:after="0" w:line="276" w:lineRule="auto"/>
            </w:pPr>
            <w:r>
              <w:rPr>
                <w:sz w:val="20"/>
              </w:rPr>
              <w:t>Linux、Docker Engine、Compose、pg_dump、restic</w:t>
            </w:r>
          </w:p>
        </w:tc>
        <w:tc>
          <w:tcPr>
            <w:tcW w:type="dxa" w:w="3888"/>
            <w:vAlign w:val="center"/>
            <w:tcMar>
              <w:top w:w="80" w:type="dxa"/>
              <w:bottom w:w="80" w:type="dxa"/>
              <w:left w:w="90" w:type="dxa"/>
              <w:right w:w="90" w:type="dxa"/>
            </w:tcMar>
            <w:tcBorders>
              <w:bottom w:val="single" w:sz="4" w:color="D7DCE0"/>
            </w:tcBorders>
          </w:tcPr>
          <w:p>
            <w:pPr>
              <w:keepNext w:val="0"/>
              <w:spacing w:after="0" w:line="276" w:lineRule="auto"/>
            </w:pPr>
            <w:r>
              <w:rPr>
                <w:sz w:val="20"/>
              </w:rPr>
              <w:t>单机足够当前目标；不使用 Kubernetes，备份必须离开该服务器</w:t>
            </w:r>
          </w:p>
        </w:tc>
      </w:tr>
      <w:tr>
        <w:trPr>
          <w:cantSplit/>
        </w:trPr>
        <w:tc>
          <w:tcPr>
            <w:tcW w:type="dxa" w:w="1843"/>
            <w:vAlign w:val="center"/>
            <w:tcMar>
              <w:top w:w="80" w:type="dxa"/>
              <w:bottom w:w="80" w:type="dxa"/>
              <w:left w:w="90" w:type="dxa"/>
              <w:right w:w="90" w:type="dxa"/>
            </w:tcMar>
            <w:tcBorders>
              <w:bottom w:val="single" w:sz="4" w:color="D7DCE0"/>
            </w:tcBorders>
          </w:tcPr>
          <w:p>
            <w:pPr>
              <w:keepNext w:val="0"/>
              <w:spacing w:after="0" w:line="276" w:lineRule="auto"/>
            </w:pPr>
            <w:r>
              <w:rPr>
                <w:sz w:val="20"/>
              </w:rPr>
              <w:t>测试质量</w:t>
            </w:r>
          </w:p>
        </w:tc>
        <w:tc>
          <w:tcPr>
            <w:tcW w:type="dxa" w:w="4493"/>
            <w:vAlign w:val="center"/>
            <w:tcMar>
              <w:top w:w="80" w:type="dxa"/>
              <w:bottom w:w="80" w:type="dxa"/>
              <w:left w:w="90" w:type="dxa"/>
              <w:right w:w="90" w:type="dxa"/>
            </w:tcMar>
            <w:tcBorders>
              <w:bottom w:val="single" w:sz="4" w:color="D7DCE0"/>
            </w:tcBorders>
          </w:tcPr>
          <w:p>
            <w:pPr>
              <w:keepNext w:val="0"/>
              <w:spacing w:after="0" w:line="276" w:lineRule="auto"/>
            </w:pPr>
            <w:r>
              <w:rPr>
                <w:sz w:val="20"/>
              </w:rPr>
              <w:t>pytest、pytest-django、Hypothesis、Vitest、Testing Library、Playwright、Locust</w:t>
            </w:r>
          </w:p>
        </w:tc>
        <w:tc>
          <w:tcPr>
            <w:tcW w:type="dxa" w:w="3888"/>
            <w:vAlign w:val="center"/>
            <w:tcMar>
              <w:top w:w="80" w:type="dxa"/>
              <w:bottom w:w="80" w:type="dxa"/>
              <w:left w:w="90" w:type="dxa"/>
              <w:right w:w="90" w:type="dxa"/>
            </w:tcMar>
            <w:tcBorders>
              <w:bottom w:val="single" w:sz="4" w:color="D7DCE0"/>
            </w:tcBorders>
          </w:tcPr>
          <w:p>
            <w:pPr>
              <w:keepNext w:val="0"/>
              <w:spacing w:after="0" w:line="276" w:lineRule="auto"/>
            </w:pPr>
            <w:r>
              <w:rPr>
                <w:sz w:val="20"/>
              </w:rPr>
              <w:t>分别覆盖业务、边界、组件、流程和负载；不以页面截图代替计算验证</w:t>
            </w:r>
          </w:p>
        </w:tc>
      </w:tr>
      <w:tr>
        <w:trPr>
          <w:cantSplit/>
        </w:trPr>
        <w:tc>
          <w:tcPr>
            <w:tcW w:type="dxa" w:w="1843"/>
            <w:vAlign w:val="center"/>
            <w:tcMar>
              <w:top w:w="80" w:type="dxa"/>
              <w:bottom w:w="80" w:type="dxa"/>
              <w:left w:w="90" w:type="dxa"/>
              <w:right w:w="90" w:type="dxa"/>
            </w:tcMar>
            <w:tcBorders>
              <w:bottom w:val="single" w:sz="4" w:color="D7DCE0"/>
            </w:tcBorders>
          </w:tcPr>
          <w:p>
            <w:pPr>
              <w:keepNext w:val="0"/>
              <w:spacing w:after="0" w:line="276" w:lineRule="auto"/>
            </w:pPr>
            <w:r>
              <w:rPr>
                <w:sz w:val="20"/>
              </w:rPr>
              <w:t>工程检查</w:t>
            </w:r>
          </w:p>
        </w:tc>
        <w:tc>
          <w:tcPr>
            <w:tcW w:type="dxa" w:w="4493"/>
            <w:vAlign w:val="center"/>
            <w:tcMar>
              <w:top w:w="80" w:type="dxa"/>
              <w:bottom w:w="80" w:type="dxa"/>
              <w:left w:w="90" w:type="dxa"/>
              <w:right w:w="90" w:type="dxa"/>
            </w:tcMar>
            <w:tcBorders>
              <w:bottom w:val="single" w:sz="4" w:color="D7DCE0"/>
            </w:tcBorders>
          </w:tcPr>
          <w:p>
            <w:pPr>
              <w:keepNext w:val="0"/>
              <w:spacing w:after="0" w:line="276" w:lineRule="auto"/>
            </w:pPr>
            <w:r>
              <w:rPr>
                <w:sz w:val="20"/>
              </w:rPr>
              <w:t>Ruff、mypy、ESLint、TypeScript 检查、pip-audit 与 pnpm audit</w:t>
            </w:r>
          </w:p>
        </w:tc>
        <w:tc>
          <w:tcPr>
            <w:tcW w:type="dxa" w:w="3888"/>
            <w:vAlign w:val="center"/>
            <w:tcMar>
              <w:top w:w="80" w:type="dxa"/>
              <w:bottom w:w="80" w:type="dxa"/>
              <w:left w:w="90" w:type="dxa"/>
              <w:right w:w="90" w:type="dxa"/>
            </w:tcMar>
            <w:tcBorders>
              <w:bottom w:val="single" w:sz="4" w:color="D7DCE0"/>
            </w:tcBorders>
          </w:tcPr>
          <w:p>
            <w:pPr>
              <w:keepNext w:val="0"/>
              <w:spacing w:after="0" w:line="276" w:lineRule="auto"/>
            </w:pPr>
            <w:r>
              <w:rPr>
                <w:sz w:val="20"/>
              </w:rPr>
              <w:t>CI 运行同一检查脚本；依赖与镜像锁定，不在生产启动时安装浮动版本</w:t>
            </w:r>
          </w:p>
        </w:tc>
      </w:tr>
    </w:tbl>
    <w:p>
      <w:pPr>
        <w:spacing w:after="20" w:before="0" w:line="240" w:lineRule="auto"/>
      </w:pPr>
      <w:r>
        <w:rPr>
          <w:sz w:val="4"/>
        </w:rPr>
      </w:r>
    </w:p>
    <w:p>
      <w:r>
        <w:t>表中明确的版本系列为拟定兼容基线，不是已锁定补丁清单。DRF、Vite、Redis 及其他库在第 11.10 节的依赖解析中确定受支持且兼容的版本；不得因本表没有补丁号而使用 latest 镜像或无锁安装。Python 3.13 与 Django 5.2 的支持关系可由官方说明核对，其余组合仍需实际安装及冒烟验证。</w:t>
      </w:r>
    </w:p>
    <w:p>
      <w:pPr>
        <w:pStyle w:val="Heading2"/>
      </w:pPr>
      <w:r>
        <w:t>11.2 后端结构与业务边界</w:t>
      </w:r>
    </w:p>
    <w:p>
      <w:r>
        <w:t>采用模块化单体，模块按 identity、catalog、ingestion、metrics、semantics、diagnostics、operations、jobs、audit 划分。名称表示拟建领域边界，不对应或沿用历史工程目录。HTTP 层处理协议、序列化和授权，服务层处理业务命令与事务，查询层处理授权后的列表及聚合，纯计算函数不依赖请求对象。</w:t>
      </w:r>
    </w:p>
    <w:p>
      <w:r>
        <w:t>业务主写路径必须经过服务层。Django Admin 仅供授权管理员维护来源、映射和配置；报告、指标快照、事件历史和已完成动作以只读方式展示，不允许绕过业务命令直接改表。复杂统计可用 SQL，但禁止模型生成后直接执行 SQL。</w:t>
      </w:r>
    </w:p>
    <w:p>
      <w:r>
        <w:t>DRF serializer 定义公共 API 字段；Pydantic 定义模型输出和内部计算结果。二者不各自重新定义金额、时区和枚举的业务规则：共用领域类型和验证函数，分别做协议映射。drf-spectacular 生成 OpenAPI，openapi-typescript 生成前端类型；在 CI 检查契约与客户端类型同步。</w:t>
      </w:r>
    </w:p>
    <w:p>
      <w:r>
        <w:t>用户权限采用 Django 账号与服务端会话。所有店铺数据查询通过统一 scope 入口，角色能力与对象范围同时校验；后台任务保存发起身份，系统定时任务用限定工作区的服务身份。执行前及结果下载前检查当前授权。数据库迁移账号和运行账号分离；本次采用应用层对象授权，不启用第二套 PostgreSQL RLS 规则，必须通过跨店铺列表、聚合、证据和导出泄漏测试。</w:t>
      </w:r>
    </w:p>
    <w:p>
      <w:pPr>
        <w:pStyle w:val="Heading2"/>
      </w:pPr>
      <w:r>
        <w:t>11.3 业务任务分解与执行策略</w:t>
      </w:r>
    </w:p>
    <w:p>
      <w:r>
        <w:t>先按业务中的最小决策单元分工，再选运行框架。同一项业务可以由代码、一次模型调用和人工确认共同完成；不能把“评论分析”“诊断”整个模块笼统标成 Agent。以下 B01 至 B40 覆盖原 FR-01 至 FR-12，B41 至 B46 补齐本次确认的自主调查与受控写入，覆盖新增 FR-13。覆盖当前需求不等于穷尽亚马逊运营的所有业务，广告投放、利润核算等排除项不因本节而自动纳入。</w:t>
      </w:r>
    </w:p>
    <w:p>
      <w:pPr>
        <w:keepNext/>
      </w:pPr>
      <w:r>
        <w:rPr>
          <w:b/>
        </w:rPr>
        <w:t>五种执行方式及人工责任</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1843"/>
        <w:gridCol w:w="4493"/>
        <w:gridCol w:w="3888"/>
      </w:tblGrid>
      <w:tr>
        <w:trPr>
          <w:cantSplit/>
          <w:tblHeader/>
        </w:trPr>
        <w:tc>
          <w:tcPr>
            <w:tcW w:type="dxa" w:w="1843"/>
            <w:vAlign w:val="center"/>
            <w:tcMar>
              <w:top w:w="80" w:type="dxa"/>
              <w:bottom w:w="80" w:type="dxa"/>
              <w:left w:w="90" w:type="dxa"/>
              <w:right w:w="90" w:type="dxa"/>
            </w:tcMar>
            <w:tcBorders>
              <w:bottom w:val="single" w:sz="4" w:color="D7DCE0"/>
            </w:tcBorders>
            <w:shd w:fill="EEF1F3"/>
          </w:tcPr>
          <w:p>
            <w:pPr>
              <w:keepNext/>
              <w:spacing w:after="0" w:line="276" w:lineRule="auto"/>
            </w:pPr>
            <w:r>
              <w:rPr>
                <w:b/>
                <w:sz w:val="20"/>
              </w:rPr>
              <w:t>类型</w:t>
            </w:r>
          </w:p>
        </w:tc>
        <w:tc>
          <w:tcPr>
            <w:tcW w:type="dxa" w:w="4493"/>
            <w:vAlign w:val="center"/>
            <w:tcMar>
              <w:top w:w="80" w:type="dxa"/>
              <w:bottom w:w="80" w:type="dxa"/>
              <w:left w:w="90" w:type="dxa"/>
              <w:right w:w="90" w:type="dxa"/>
            </w:tcMar>
            <w:tcBorders>
              <w:bottom w:val="single" w:sz="4" w:color="D7DCE0"/>
            </w:tcBorders>
            <w:shd w:fill="EEF1F3"/>
          </w:tcPr>
          <w:p>
            <w:pPr>
              <w:keepNext/>
              <w:spacing w:after="0" w:line="276" w:lineRule="auto"/>
            </w:pPr>
            <w:r>
              <w:rPr>
                <w:b/>
                <w:sz w:val="20"/>
              </w:rPr>
              <w:t>控制权与适用条件</w:t>
            </w:r>
          </w:p>
        </w:tc>
        <w:tc>
          <w:tcPr>
            <w:tcW w:type="dxa" w:w="3888"/>
            <w:vAlign w:val="center"/>
            <w:tcMar>
              <w:top w:w="80" w:type="dxa"/>
              <w:bottom w:w="80" w:type="dxa"/>
              <w:left w:w="90" w:type="dxa"/>
              <w:right w:w="90" w:type="dxa"/>
            </w:tcMar>
            <w:tcBorders>
              <w:bottom w:val="single" w:sz="4" w:color="D7DCE0"/>
            </w:tcBorders>
            <w:shd w:fill="EEF1F3"/>
          </w:tcPr>
          <w:p>
            <w:pPr>
              <w:keepNext/>
              <w:spacing w:after="0" w:line="276" w:lineRule="auto"/>
            </w:pPr>
            <w:r>
              <w:rPr>
                <w:b/>
                <w:sz w:val="20"/>
              </w:rPr>
              <w:t>结束和失败处理</w:t>
            </w:r>
          </w:p>
        </w:tc>
      </w:tr>
      <w:tr>
        <w:trPr>
          <w:cantSplit/>
        </w:trPr>
        <w:tc>
          <w:tcPr>
            <w:tcW w:type="dxa" w:w="1843"/>
            <w:vAlign w:val="center"/>
            <w:tcMar>
              <w:top w:w="80" w:type="dxa"/>
              <w:bottom w:w="80" w:type="dxa"/>
              <w:left w:w="90" w:type="dxa"/>
              <w:right w:w="90" w:type="dxa"/>
            </w:tcMar>
            <w:tcBorders>
              <w:bottom w:val="single" w:sz="4" w:color="D7DCE0"/>
            </w:tcBorders>
          </w:tcPr>
          <w:p>
            <w:pPr>
              <w:keepNext w:val="0"/>
              <w:spacing w:after="0" w:line="276" w:lineRule="auto"/>
            </w:pPr>
            <w:r>
              <w:rPr>
                <w:sz w:val="20"/>
              </w:rPr>
              <w:t>D 确定性处理</w:t>
            </w:r>
          </w:p>
        </w:tc>
        <w:tc>
          <w:tcPr>
            <w:tcW w:type="dxa" w:w="4493"/>
            <w:vAlign w:val="center"/>
            <w:tcMar>
              <w:top w:w="80" w:type="dxa"/>
              <w:bottom w:w="80" w:type="dxa"/>
              <w:left w:w="90" w:type="dxa"/>
              <w:right w:w="90" w:type="dxa"/>
            </w:tcMar>
            <w:tcBorders>
              <w:bottom w:val="single" w:sz="4" w:color="D7DCE0"/>
            </w:tcBorders>
          </w:tcPr>
          <w:p>
            <w:pPr>
              <w:keepNext w:val="0"/>
              <w:spacing w:after="0" w:line="276" w:lineRule="auto"/>
            </w:pPr>
            <w:r>
              <w:rPr>
                <w:sz w:val="20"/>
              </w:rPr>
              <w:t>SQL、规则或普通代码已有明确答案；输入决定结果</w:t>
            </w:r>
          </w:p>
        </w:tc>
        <w:tc>
          <w:tcPr>
            <w:tcW w:type="dxa" w:w="3888"/>
            <w:vAlign w:val="center"/>
            <w:tcMar>
              <w:top w:w="80" w:type="dxa"/>
              <w:bottom w:w="80" w:type="dxa"/>
              <w:left w:w="90" w:type="dxa"/>
              <w:right w:w="90" w:type="dxa"/>
            </w:tcMar>
            <w:tcBorders>
              <w:bottom w:val="single" w:sz="4" w:color="D7DCE0"/>
            </w:tcBorders>
          </w:tcPr>
          <w:p>
            <w:pPr>
              <w:keepNext w:val="0"/>
              <w:spacing w:after="0" w:line="276" w:lineRule="auto"/>
            </w:pPr>
            <w:r>
              <w:rPr>
                <w:sz w:val="20"/>
              </w:rPr>
              <w:t>校验通过提交；输入不成立则给出具体缺口，不交模型猜</w:t>
            </w:r>
          </w:p>
        </w:tc>
      </w:tr>
      <w:tr>
        <w:trPr>
          <w:cantSplit/>
        </w:trPr>
        <w:tc>
          <w:tcPr>
            <w:tcW w:type="dxa" w:w="1843"/>
            <w:vAlign w:val="center"/>
            <w:tcMar>
              <w:top w:w="80" w:type="dxa"/>
              <w:bottom w:w="80" w:type="dxa"/>
              <w:left w:w="90" w:type="dxa"/>
              <w:right w:w="90" w:type="dxa"/>
            </w:tcMar>
            <w:tcBorders>
              <w:bottom w:val="single" w:sz="4" w:color="D7DCE0"/>
            </w:tcBorders>
          </w:tcPr>
          <w:p>
            <w:pPr>
              <w:keepNext w:val="0"/>
              <w:spacing w:after="0" w:line="276" w:lineRule="auto"/>
            </w:pPr>
            <w:r>
              <w:rPr>
                <w:sz w:val="20"/>
              </w:rPr>
              <w:t>S 单次语义调用</w:t>
            </w:r>
          </w:p>
        </w:tc>
        <w:tc>
          <w:tcPr>
            <w:tcW w:type="dxa" w:w="4493"/>
            <w:vAlign w:val="center"/>
            <w:tcMar>
              <w:top w:w="80" w:type="dxa"/>
              <w:bottom w:w="80" w:type="dxa"/>
              <w:left w:w="90" w:type="dxa"/>
              <w:right w:w="90" w:type="dxa"/>
            </w:tcMar>
            <w:tcBorders>
              <w:bottom w:val="single" w:sz="4" w:color="D7DCE0"/>
            </w:tcBorders>
          </w:tcPr>
          <w:p>
            <w:pPr>
              <w:keepNext w:val="0"/>
              <w:spacing w:after="0" w:line="276" w:lineRule="auto"/>
            </w:pPr>
            <w:r>
              <w:rPr>
                <w:sz w:val="20"/>
              </w:rPr>
              <w:t>所需上下文已齐；一次结构化输出能完成明确语义任务</w:t>
            </w:r>
          </w:p>
        </w:tc>
        <w:tc>
          <w:tcPr>
            <w:tcW w:type="dxa" w:w="3888"/>
            <w:vAlign w:val="center"/>
            <w:tcMar>
              <w:top w:w="80" w:type="dxa"/>
              <w:bottom w:w="80" w:type="dxa"/>
              <w:left w:w="90" w:type="dxa"/>
              <w:right w:w="90" w:type="dxa"/>
            </w:tcMar>
            <w:tcBorders>
              <w:bottom w:val="single" w:sz="4" w:color="D7DCE0"/>
            </w:tcBorders>
          </w:tcPr>
          <w:p>
            <w:pPr>
              <w:keepNext w:val="0"/>
              <w:spacing w:after="0" w:line="276" w:lineRule="auto"/>
            </w:pPr>
            <w:r>
              <w:rPr>
                <w:sz w:val="20"/>
              </w:rPr>
              <w:t>校验 schema、引用及业务约束；失败标记未完成或模板降级</w:t>
            </w:r>
          </w:p>
        </w:tc>
      </w:tr>
      <w:tr>
        <w:trPr>
          <w:cantSplit/>
        </w:trPr>
        <w:tc>
          <w:tcPr>
            <w:tcW w:type="dxa" w:w="1843"/>
            <w:vAlign w:val="center"/>
            <w:tcMar>
              <w:top w:w="80" w:type="dxa"/>
              <w:bottom w:w="80" w:type="dxa"/>
              <w:left w:w="90" w:type="dxa"/>
              <w:right w:w="90" w:type="dxa"/>
            </w:tcMar>
            <w:tcBorders>
              <w:bottom w:val="single" w:sz="4" w:color="D7DCE0"/>
            </w:tcBorders>
          </w:tcPr>
          <w:p>
            <w:pPr>
              <w:keepNext w:val="0"/>
              <w:spacing w:after="0" w:line="276" w:lineRule="auto"/>
            </w:pPr>
            <w:r>
              <w:rPr>
                <w:sz w:val="20"/>
              </w:rPr>
              <w:t>F 固定工作流</w:t>
            </w:r>
          </w:p>
        </w:tc>
        <w:tc>
          <w:tcPr>
            <w:tcW w:type="dxa" w:w="4493"/>
            <w:vAlign w:val="center"/>
            <w:tcMar>
              <w:top w:w="80" w:type="dxa"/>
              <w:bottom w:w="80" w:type="dxa"/>
              <w:left w:w="90" w:type="dxa"/>
              <w:right w:w="90" w:type="dxa"/>
            </w:tcMar>
            <w:tcBorders>
              <w:bottom w:val="single" w:sz="4" w:color="D7DCE0"/>
            </w:tcBorders>
          </w:tcPr>
          <w:p>
            <w:pPr>
              <w:keepNext w:val="0"/>
              <w:spacing w:after="0" w:line="276" w:lineRule="auto"/>
            </w:pPr>
            <w:r>
              <w:rPr>
                <w:sz w:val="20"/>
              </w:rPr>
              <w:t>步骤及允许分支事先已知；可串行、并行、按数据数量展开</w:t>
            </w:r>
          </w:p>
        </w:tc>
        <w:tc>
          <w:tcPr>
            <w:tcW w:type="dxa" w:w="3888"/>
            <w:vAlign w:val="center"/>
            <w:tcMar>
              <w:top w:w="80" w:type="dxa"/>
              <w:bottom w:w="80" w:type="dxa"/>
              <w:left w:w="90" w:type="dxa"/>
              <w:right w:w="90" w:type="dxa"/>
            </w:tcMar>
            <w:tcBorders>
              <w:bottom w:val="single" w:sz="4" w:color="D7DCE0"/>
            </w:tcBorders>
          </w:tcPr>
          <w:p>
            <w:pPr>
              <w:keepNext w:val="0"/>
              <w:spacing w:after="0" w:line="276" w:lineRule="auto"/>
            </w:pPr>
            <w:r>
              <w:rPr>
                <w:sz w:val="20"/>
              </w:rPr>
              <w:t>每个必查项记录结果或不可检查原因；到达终态结束</w:t>
            </w:r>
          </w:p>
        </w:tc>
      </w:tr>
      <w:tr>
        <w:trPr>
          <w:cantSplit/>
        </w:trPr>
        <w:tc>
          <w:tcPr>
            <w:tcW w:type="dxa" w:w="1843"/>
            <w:vAlign w:val="center"/>
            <w:tcMar>
              <w:top w:w="80" w:type="dxa"/>
              <w:bottom w:w="80" w:type="dxa"/>
              <w:left w:w="90" w:type="dxa"/>
              <w:right w:w="90" w:type="dxa"/>
            </w:tcMar>
            <w:tcBorders>
              <w:bottom w:val="single" w:sz="4" w:color="D7DCE0"/>
            </w:tcBorders>
          </w:tcPr>
          <w:p>
            <w:pPr>
              <w:keepNext w:val="0"/>
              <w:spacing w:after="0" w:line="276" w:lineRule="auto"/>
            </w:pPr>
            <w:r>
              <w:rPr>
                <w:sz w:val="20"/>
              </w:rPr>
              <w:t>P 受限动态计划</w:t>
            </w:r>
          </w:p>
        </w:tc>
        <w:tc>
          <w:tcPr>
            <w:tcW w:type="dxa" w:w="4493"/>
            <w:vAlign w:val="center"/>
            <w:tcMar>
              <w:top w:w="80" w:type="dxa"/>
              <w:bottom w:w="80" w:type="dxa"/>
              <w:left w:w="90" w:type="dxa"/>
              <w:right w:w="90" w:type="dxa"/>
            </w:tcMar>
            <w:tcBorders>
              <w:bottom w:val="single" w:sz="4" w:color="D7DCE0"/>
            </w:tcBorders>
          </w:tcPr>
          <w:p>
            <w:pPr>
              <w:keepNext w:val="0"/>
              <w:spacing w:after="0" w:line="276" w:lineRule="auto"/>
            </w:pPr>
            <w:r>
              <w:rPr>
                <w:sz w:val="20"/>
              </w:rPr>
              <w:t>用户组合了现有能力，执行前需要生成一次有限计划；执行中不自主改计划</w:t>
            </w:r>
          </w:p>
        </w:tc>
        <w:tc>
          <w:tcPr>
            <w:tcW w:type="dxa" w:w="3888"/>
            <w:vAlign w:val="center"/>
            <w:tcMar>
              <w:top w:w="80" w:type="dxa"/>
              <w:bottom w:w="80" w:type="dxa"/>
              <w:left w:w="90" w:type="dxa"/>
              <w:right w:w="90" w:type="dxa"/>
            </w:tcMar>
            <w:tcBorders>
              <w:bottom w:val="single" w:sz="4" w:color="D7DCE0"/>
            </w:tcBorders>
          </w:tcPr>
          <w:p>
            <w:pPr>
              <w:keepNext w:val="0"/>
              <w:spacing w:after="0" w:line="276" w:lineRule="auto"/>
            </w:pPr>
            <w:r>
              <w:rPr>
                <w:sz w:val="20"/>
              </w:rPr>
              <w:t>先校验完整计划再执行；失败返回缺口，不边执行边自由扩展</w:t>
            </w:r>
          </w:p>
        </w:tc>
      </w:tr>
      <w:tr>
        <w:trPr>
          <w:cantSplit/>
        </w:trPr>
        <w:tc>
          <w:tcPr>
            <w:tcW w:type="dxa" w:w="1843"/>
            <w:vAlign w:val="center"/>
            <w:tcMar>
              <w:top w:w="80" w:type="dxa"/>
              <w:bottom w:w="80" w:type="dxa"/>
              <w:left w:w="90" w:type="dxa"/>
              <w:right w:w="90" w:type="dxa"/>
            </w:tcMar>
            <w:tcBorders>
              <w:bottom w:val="single" w:sz="4" w:color="D7DCE0"/>
            </w:tcBorders>
          </w:tcPr>
          <w:p>
            <w:pPr>
              <w:keepNext w:val="0"/>
              <w:spacing w:after="0" w:line="276" w:lineRule="auto"/>
            </w:pPr>
            <w:r>
              <w:rPr>
                <w:sz w:val="20"/>
              </w:rPr>
              <w:t>A 受控 Agent</w:t>
            </w:r>
          </w:p>
        </w:tc>
        <w:tc>
          <w:tcPr>
            <w:tcW w:type="dxa" w:w="4493"/>
            <w:vAlign w:val="center"/>
            <w:tcMar>
              <w:top w:w="80" w:type="dxa"/>
              <w:bottom w:w="80" w:type="dxa"/>
              <w:left w:w="90" w:type="dxa"/>
              <w:right w:w="90" w:type="dxa"/>
            </w:tcMar>
            <w:tcBorders>
              <w:bottom w:val="single" w:sz="4" w:color="D7DCE0"/>
            </w:tcBorders>
          </w:tcPr>
          <w:p>
            <w:pPr>
              <w:keepNext w:val="0"/>
              <w:spacing w:after="0" w:line="276" w:lineRule="auto"/>
            </w:pPr>
            <w:r>
              <w:rPr>
                <w:sz w:val="20"/>
              </w:rPr>
              <w:t>下一步确实依赖刚取得的新证据，由模型选择工具、参数和是否继续</w:t>
            </w:r>
          </w:p>
        </w:tc>
        <w:tc>
          <w:tcPr>
            <w:tcW w:type="dxa" w:w="3888"/>
            <w:vAlign w:val="center"/>
            <w:tcMar>
              <w:top w:w="80" w:type="dxa"/>
              <w:bottom w:w="80" w:type="dxa"/>
              <w:left w:w="90" w:type="dxa"/>
              <w:right w:w="90" w:type="dxa"/>
            </w:tcMar>
            <w:tcBorders>
              <w:bottom w:val="single" w:sz="4" w:color="D7DCE0"/>
            </w:tcBorders>
          </w:tcPr>
          <w:p>
            <w:pPr>
              <w:keepNext w:val="0"/>
              <w:spacing w:after="0" w:line="276" w:lineRule="auto"/>
            </w:pPr>
            <w:r>
              <w:rPr>
                <w:sz w:val="20"/>
              </w:rPr>
              <w:t>明确工具、权限、成本及步数上限；无新证据、超限或需人工即停止</w:t>
            </w:r>
          </w:p>
        </w:tc>
      </w:tr>
    </w:tbl>
    <w:p>
      <w:pPr>
        <w:spacing w:after="20" w:before="0" w:line="240" w:lineRule="auto"/>
      </w:pPr>
      <w:r>
        <w:rPr>
          <w:sz w:val="4"/>
        </w:rPr>
      </w:r>
    </w:p>
    <w:p>
      <w:r>
        <w:t>H 表示人工确认或业务决策，可以叠加在以上任一类型上，不能因为有审批就称为 Agent。定时排程由 Beat/Job 处理，F 表示业务步骤的固定编排，两者不同。这里的动态计划指执行计划生成，不是算法中的动态规划。按子 ASIN 数量展开并行查询、按缺失数据走预设分支，仍属 F，不属 P 或 A。</w:t>
      </w:r>
    </w:p>
    <w:p>
      <w:r>
        <w:t>模型调用次数按一个业务单元的逻辑调用计算，网络重试另外受第 11.4 节预算约束；批量处理一千条评论会产生多个 S 单元，但不会因此成为 Agent。单次调用不是硬性追求：输入过长、不同权限或输出无法稳定校验时，应拆分成固定工作流。</w:t>
      </w:r>
    </w:p>
    <w:p>
      <w:pPr>
        <w:keepNext/>
      </w:pPr>
      <w:r>
        <w:rPr>
          <w:b/>
        </w:rPr>
        <w:t>任务矩阵一 数据接入与计算</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1843"/>
        <w:gridCol w:w="4493"/>
        <w:gridCol w:w="3888"/>
      </w:tblGrid>
      <w:tr>
        <w:trPr>
          <w:cantSplit/>
          <w:tblHeader/>
        </w:trPr>
        <w:tc>
          <w:tcPr>
            <w:tcW w:type="dxa" w:w="1843"/>
            <w:vAlign w:val="center"/>
            <w:tcMar>
              <w:top w:w="80" w:type="dxa"/>
              <w:bottom w:w="80" w:type="dxa"/>
              <w:left w:w="90" w:type="dxa"/>
              <w:right w:w="90" w:type="dxa"/>
            </w:tcMar>
            <w:tcBorders>
              <w:bottom w:val="single" w:sz="4" w:color="D7DCE0"/>
            </w:tcBorders>
            <w:shd w:fill="EEF1F3"/>
          </w:tcPr>
          <w:p>
            <w:pPr>
              <w:keepNext/>
              <w:spacing w:after="0" w:line="276" w:lineRule="auto"/>
            </w:pPr>
            <w:r>
              <w:rPr>
                <w:b/>
                <w:sz w:val="20"/>
              </w:rPr>
              <w:t>业务单元与需求</w:t>
            </w:r>
          </w:p>
        </w:tc>
        <w:tc>
          <w:tcPr>
            <w:tcW w:type="dxa" w:w="4493"/>
            <w:vAlign w:val="center"/>
            <w:tcMar>
              <w:top w:w="80" w:type="dxa"/>
              <w:bottom w:w="80" w:type="dxa"/>
              <w:left w:w="90" w:type="dxa"/>
              <w:right w:w="90" w:type="dxa"/>
            </w:tcMar>
            <w:tcBorders>
              <w:bottom w:val="single" w:sz="4" w:color="D7DCE0"/>
            </w:tcBorders>
            <w:shd w:fill="EEF1F3"/>
          </w:tcPr>
          <w:p>
            <w:pPr>
              <w:keepNext/>
              <w:spacing w:after="0" w:line="276" w:lineRule="auto"/>
            </w:pPr>
            <w:r>
              <w:rPr>
                <w:b/>
                <w:sz w:val="20"/>
              </w:rPr>
              <w:t>输入与输出及执行方式</w:t>
            </w:r>
          </w:p>
        </w:tc>
        <w:tc>
          <w:tcPr>
            <w:tcW w:type="dxa" w:w="3888"/>
            <w:vAlign w:val="center"/>
            <w:tcMar>
              <w:top w:w="80" w:type="dxa"/>
              <w:bottom w:w="80" w:type="dxa"/>
              <w:left w:w="90" w:type="dxa"/>
              <w:right w:w="90" w:type="dxa"/>
            </w:tcMar>
            <w:tcBorders>
              <w:bottom w:val="single" w:sz="4" w:color="D7DCE0"/>
            </w:tcBorders>
            <w:shd w:fill="EEF1F3"/>
          </w:tcPr>
          <w:p>
            <w:pPr>
              <w:keepNext/>
              <w:spacing w:after="0" w:line="276" w:lineRule="auto"/>
            </w:pPr>
            <w:r>
              <w:rPr>
                <w:b/>
                <w:sz w:val="20"/>
              </w:rPr>
              <w:t>选择理由与异常边界</w:t>
            </w:r>
          </w:p>
        </w:tc>
      </w:tr>
      <w:tr>
        <w:trPr>
          <w:cantSplit/>
        </w:trPr>
        <w:tc>
          <w:tcPr>
            <w:tcW w:type="dxa" w:w="1843"/>
            <w:vAlign w:val="center"/>
            <w:tcMar>
              <w:top w:w="80" w:type="dxa"/>
              <w:bottom w:w="80" w:type="dxa"/>
              <w:left w:w="90" w:type="dxa"/>
              <w:right w:w="90" w:type="dxa"/>
            </w:tcMar>
            <w:tcBorders>
              <w:bottom w:val="single" w:sz="4" w:color="D7DCE0"/>
            </w:tcBorders>
          </w:tcPr>
          <w:p>
            <w:pPr>
              <w:keepNext w:val="0"/>
              <w:spacing w:after="0" w:line="276" w:lineRule="auto"/>
            </w:pPr>
            <w:r>
              <w:rPr>
                <w:sz w:val="20"/>
              </w:rPr>
              <w:t>B01 对象和负责人维护 FR-01</w:t>
            </w:r>
          </w:p>
        </w:tc>
        <w:tc>
          <w:tcPr>
            <w:tcW w:type="dxa" w:w="4493"/>
            <w:vAlign w:val="center"/>
            <w:tcMar>
              <w:top w:w="80" w:type="dxa"/>
              <w:bottom w:w="80" w:type="dxa"/>
              <w:left w:w="90" w:type="dxa"/>
              <w:right w:w="90" w:type="dxa"/>
            </w:tcMar>
            <w:tcBorders>
              <w:bottom w:val="single" w:sz="4" w:color="D7DCE0"/>
            </w:tcBorders>
          </w:tcPr>
          <w:p>
            <w:pPr>
              <w:keepNext w:val="0"/>
              <w:spacing w:after="0" w:line="276" w:lineRule="auto"/>
            </w:pPr>
            <w:r>
              <w:rPr>
                <w:sz w:val="20"/>
              </w:rPr>
              <w:t>店铺、ASIN、SKU、履约及有效期 → 身份映射；D+H，0 次模型</w:t>
            </w:r>
          </w:p>
        </w:tc>
        <w:tc>
          <w:tcPr>
            <w:tcW w:type="dxa" w:w="3888"/>
            <w:vAlign w:val="center"/>
            <w:tcMar>
              <w:top w:w="80" w:type="dxa"/>
              <w:bottom w:w="80" w:type="dxa"/>
              <w:left w:w="90" w:type="dxa"/>
              <w:right w:w="90" w:type="dxa"/>
            </w:tcMar>
            <w:tcBorders>
              <w:bottom w:val="single" w:sz="4" w:color="D7DCE0"/>
            </w:tcBorders>
          </w:tcPr>
          <w:p>
            <w:pPr>
              <w:keepNext w:val="0"/>
              <w:spacing w:after="0" w:line="276" w:lineRule="auto"/>
            </w:pPr>
            <w:r>
              <w:rPr>
                <w:sz w:val="20"/>
              </w:rPr>
              <w:t>不凭名称相似度自动合并；父子关系变更保留历史</w:t>
            </w:r>
          </w:p>
        </w:tc>
      </w:tr>
      <w:tr>
        <w:trPr>
          <w:cantSplit/>
        </w:trPr>
        <w:tc>
          <w:tcPr>
            <w:tcW w:type="dxa" w:w="1843"/>
            <w:vAlign w:val="center"/>
            <w:tcMar>
              <w:top w:w="80" w:type="dxa"/>
              <w:bottom w:w="80" w:type="dxa"/>
              <w:left w:w="90" w:type="dxa"/>
              <w:right w:w="90" w:type="dxa"/>
            </w:tcMar>
            <w:tcBorders>
              <w:bottom w:val="single" w:sz="4" w:color="D7DCE0"/>
            </w:tcBorders>
          </w:tcPr>
          <w:p>
            <w:pPr>
              <w:keepNext w:val="0"/>
              <w:spacing w:after="0" w:line="276" w:lineRule="auto"/>
            </w:pPr>
            <w:r>
              <w:rPr>
                <w:sz w:val="20"/>
              </w:rPr>
              <w:t>B02 上传和目录批量发现 FR-02</w:t>
            </w:r>
          </w:p>
        </w:tc>
        <w:tc>
          <w:tcPr>
            <w:tcW w:type="dxa" w:w="4493"/>
            <w:vAlign w:val="center"/>
            <w:tcMar>
              <w:top w:w="80" w:type="dxa"/>
              <w:bottom w:w="80" w:type="dxa"/>
              <w:left w:w="90" w:type="dxa"/>
              <w:right w:w="90" w:type="dxa"/>
            </w:tcMar>
            <w:tcBorders>
              <w:bottom w:val="single" w:sz="4" w:color="D7DCE0"/>
            </w:tcBorders>
          </w:tcPr>
          <w:p>
            <w:pPr>
              <w:keepNext w:val="0"/>
              <w:spacing w:after="0" w:line="276" w:lineRule="auto"/>
            </w:pPr>
            <w:r>
              <w:rPr>
                <w:sz w:val="20"/>
              </w:rPr>
              <w:t>文件、授权目录 → 文件清单及导入任务；F，0 次</w:t>
            </w:r>
          </w:p>
        </w:tc>
        <w:tc>
          <w:tcPr>
            <w:tcW w:type="dxa" w:w="3888"/>
            <w:vAlign w:val="center"/>
            <w:tcMar>
              <w:top w:w="80" w:type="dxa"/>
              <w:bottom w:w="80" w:type="dxa"/>
              <w:left w:w="90" w:type="dxa"/>
              <w:right w:w="90" w:type="dxa"/>
            </w:tcMar>
            <w:tcBorders>
              <w:bottom w:val="single" w:sz="4" w:color="D7DCE0"/>
            </w:tcBorders>
          </w:tcPr>
          <w:p>
            <w:pPr>
              <w:keepNext w:val="0"/>
              <w:spacing w:after="0" w:line="276" w:lineRule="auto"/>
            </w:pPr>
            <w:r>
              <w:rPr>
                <w:sz w:val="20"/>
              </w:rPr>
              <w:t>哈希、来源、范围去重；目录变化不能扩大授权路径</w:t>
            </w:r>
          </w:p>
        </w:tc>
      </w:tr>
      <w:tr>
        <w:trPr>
          <w:cantSplit/>
        </w:trPr>
        <w:tc>
          <w:tcPr>
            <w:tcW w:type="dxa" w:w="1843"/>
            <w:vAlign w:val="center"/>
            <w:tcMar>
              <w:top w:w="80" w:type="dxa"/>
              <w:bottom w:w="80" w:type="dxa"/>
              <w:left w:w="90" w:type="dxa"/>
              <w:right w:w="90" w:type="dxa"/>
            </w:tcMar>
            <w:tcBorders>
              <w:bottom w:val="single" w:sz="4" w:color="D7DCE0"/>
            </w:tcBorders>
          </w:tcPr>
          <w:p>
            <w:pPr>
              <w:keepNext w:val="0"/>
              <w:spacing w:after="0" w:line="276" w:lineRule="auto"/>
            </w:pPr>
            <w:r>
              <w:rPr>
                <w:sz w:val="20"/>
              </w:rPr>
              <w:t>B03 来源识别和字段映射 FR-02</w:t>
            </w:r>
          </w:p>
        </w:tc>
        <w:tc>
          <w:tcPr>
            <w:tcW w:type="dxa" w:w="4493"/>
            <w:vAlign w:val="center"/>
            <w:tcMar>
              <w:top w:w="80" w:type="dxa"/>
              <w:bottom w:w="80" w:type="dxa"/>
              <w:left w:w="90" w:type="dxa"/>
              <w:right w:w="90" w:type="dxa"/>
            </w:tcMar>
            <w:tcBorders>
              <w:bottom w:val="single" w:sz="4" w:color="D7DCE0"/>
            </w:tcBorders>
          </w:tcPr>
          <w:p>
            <w:pPr>
              <w:keepNext w:val="0"/>
              <w:spacing w:after="0" w:line="276" w:lineRule="auto"/>
            </w:pPr>
            <w:r>
              <w:rPr>
                <w:sz w:val="20"/>
              </w:rPr>
              <w:t>表头、已登记模板 → 映射预览；D+H，0 次</w:t>
            </w:r>
          </w:p>
        </w:tc>
        <w:tc>
          <w:tcPr>
            <w:tcW w:type="dxa" w:w="3888"/>
            <w:vAlign w:val="center"/>
            <w:tcMar>
              <w:top w:w="80" w:type="dxa"/>
              <w:bottom w:w="80" w:type="dxa"/>
              <w:left w:w="90" w:type="dxa"/>
              <w:right w:w="90" w:type="dxa"/>
            </w:tcMar>
            <w:tcBorders>
              <w:bottom w:val="single" w:sz="4" w:color="D7DCE0"/>
            </w:tcBorders>
          </w:tcPr>
          <w:p>
            <w:pPr>
              <w:keepNext w:val="0"/>
              <w:spacing w:after="0" w:line="276" w:lineRule="auto"/>
            </w:pPr>
            <w:r>
              <w:rPr>
                <w:sz w:val="20"/>
              </w:rPr>
              <w:t>未知表头由管理员映射；不增加自动猜字段业务承诺</w:t>
            </w:r>
          </w:p>
        </w:tc>
      </w:tr>
      <w:tr>
        <w:trPr>
          <w:cantSplit/>
        </w:trPr>
        <w:tc>
          <w:tcPr>
            <w:tcW w:type="dxa" w:w="1843"/>
            <w:vAlign w:val="center"/>
            <w:tcMar>
              <w:top w:w="80" w:type="dxa"/>
              <w:bottom w:w="80" w:type="dxa"/>
              <w:left w:w="90" w:type="dxa"/>
              <w:right w:w="90" w:type="dxa"/>
            </w:tcMar>
            <w:tcBorders>
              <w:bottom w:val="single" w:sz="4" w:color="D7DCE0"/>
            </w:tcBorders>
          </w:tcPr>
          <w:p>
            <w:pPr>
              <w:keepNext w:val="0"/>
              <w:spacing w:after="0" w:line="276" w:lineRule="auto"/>
            </w:pPr>
            <w:r>
              <w:rPr>
                <w:sz w:val="20"/>
              </w:rPr>
              <w:t>B04 校验及正式发布 FR-02</w:t>
            </w:r>
          </w:p>
        </w:tc>
        <w:tc>
          <w:tcPr>
            <w:tcW w:type="dxa" w:w="4493"/>
            <w:vAlign w:val="center"/>
            <w:tcMar>
              <w:top w:w="80" w:type="dxa"/>
              <w:bottom w:w="80" w:type="dxa"/>
              <w:left w:w="90" w:type="dxa"/>
              <w:right w:w="90" w:type="dxa"/>
            </w:tcMar>
            <w:tcBorders>
              <w:bottom w:val="single" w:sz="4" w:color="D7DCE0"/>
            </w:tcBorders>
          </w:tcPr>
          <w:p>
            <w:pPr>
              <w:keepNext w:val="0"/>
              <w:spacing w:after="0" w:line="276" w:lineRule="auto"/>
            </w:pPr>
            <w:r>
              <w:rPr>
                <w:sz w:val="20"/>
              </w:rPr>
              <w:t>暂存原行 → 错误清单、版本化事实；F，0 次</w:t>
            </w:r>
          </w:p>
        </w:tc>
        <w:tc>
          <w:tcPr>
            <w:tcW w:type="dxa" w:w="3888"/>
            <w:vAlign w:val="center"/>
            <w:tcMar>
              <w:top w:w="80" w:type="dxa"/>
              <w:bottom w:w="80" w:type="dxa"/>
              <w:left w:w="90" w:type="dxa"/>
              <w:right w:w="90" w:type="dxa"/>
            </w:tcMar>
            <w:tcBorders>
              <w:bottom w:val="single" w:sz="4" w:color="D7DCE0"/>
            </w:tcBorders>
          </w:tcPr>
          <w:p>
            <w:pPr>
              <w:keepNext w:val="0"/>
              <w:spacing w:after="0" w:line="276" w:lineRule="auto"/>
            </w:pPr>
            <w:r>
              <w:rPr>
                <w:sz w:val="20"/>
              </w:rPr>
              <w:t>解析、日期金额粒度校验、预览确认、事务发布；有误不能直接入正式口径</w:t>
            </w:r>
          </w:p>
        </w:tc>
      </w:tr>
      <w:tr>
        <w:trPr>
          <w:cantSplit/>
        </w:trPr>
        <w:tc>
          <w:tcPr>
            <w:tcW w:type="dxa" w:w="1843"/>
            <w:vAlign w:val="center"/>
            <w:tcMar>
              <w:top w:w="80" w:type="dxa"/>
              <w:bottom w:w="80" w:type="dxa"/>
              <w:left w:w="90" w:type="dxa"/>
              <w:right w:w="90" w:type="dxa"/>
            </w:tcMar>
            <w:tcBorders>
              <w:bottom w:val="single" w:sz="4" w:color="D7DCE0"/>
            </w:tcBorders>
          </w:tcPr>
          <w:p>
            <w:pPr>
              <w:keepNext w:val="0"/>
              <w:spacing w:after="0" w:line="276" w:lineRule="auto"/>
            </w:pPr>
            <w:r>
              <w:rPr>
                <w:sz w:val="20"/>
              </w:rPr>
              <w:t>B05 补报更正和撤销 FR-02</w:t>
            </w:r>
          </w:p>
        </w:tc>
        <w:tc>
          <w:tcPr>
            <w:tcW w:type="dxa" w:w="4493"/>
            <w:vAlign w:val="center"/>
            <w:tcMar>
              <w:top w:w="80" w:type="dxa"/>
              <w:bottom w:w="80" w:type="dxa"/>
              <w:left w:w="90" w:type="dxa"/>
              <w:right w:w="90" w:type="dxa"/>
            </w:tcMar>
            <w:tcBorders>
              <w:bottom w:val="single" w:sz="4" w:color="D7DCE0"/>
            </w:tcBorders>
          </w:tcPr>
          <w:p>
            <w:pPr>
              <w:keepNext w:val="0"/>
              <w:spacing w:after="0" w:line="276" w:lineRule="auto"/>
            </w:pPr>
            <w:r>
              <w:rPr>
                <w:sz w:val="20"/>
              </w:rPr>
              <w:t>新版本、原业务键 → 修订及受影响运行；F，0 次</w:t>
            </w:r>
          </w:p>
        </w:tc>
        <w:tc>
          <w:tcPr>
            <w:tcW w:type="dxa" w:w="3888"/>
            <w:vAlign w:val="center"/>
            <w:tcMar>
              <w:top w:w="80" w:type="dxa"/>
              <w:bottom w:w="80" w:type="dxa"/>
              <w:left w:w="90" w:type="dxa"/>
              <w:right w:w="90" w:type="dxa"/>
            </w:tcMar>
            <w:tcBorders>
              <w:bottom w:val="single" w:sz="4" w:color="D7DCE0"/>
            </w:tcBorders>
          </w:tcPr>
          <w:p>
            <w:pPr>
              <w:keepNext w:val="0"/>
              <w:spacing w:after="0" w:line="276" w:lineRule="auto"/>
            </w:pPr>
            <w:r>
              <w:rPr>
                <w:sz w:val="20"/>
              </w:rPr>
              <w:t>按源契约覆盖或追加，保留旧报告；不得把缺行当删除</w:t>
            </w:r>
          </w:p>
        </w:tc>
      </w:tr>
      <w:tr>
        <w:trPr>
          <w:cantSplit/>
        </w:trPr>
        <w:tc>
          <w:tcPr>
            <w:tcW w:type="dxa" w:w="1843"/>
            <w:vAlign w:val="center"/>
            <w:tcMar>
              <w:top w:w="80" w:type="dxa"/>
              <w:bottom w:w="80" w:type="dxa"/>
              <w:left w:w="90" w:type="dxa"/>
              <w:right w:w="90" w:type="dxa"/>
            </w:tcMar>
            <w:tcBorders>
              <w:bottom w:val="single" w:sz="4" w:color="D7DCE0"/>
            </w:tcBorders>
          </w:tcPr>
          <w:p>
            <w:pPr>
              <w:keepNext w:val="0"/>
              <w:spacing w:after="0" w:line="276" w:lineRule="auto"/>
            </w:pPr>
            <w:r>
              <w:rPr>
                <w:sz w:val="20"/>
              </w:rPr>
              <w:t>B06 覆盖与可用性 FR-03</w:t>
            </w:r>
          </w:p>
        </w:tc>
        <w:tc>
          <w:tcPr>
            <w:tcW w:type="dxa" w:w="4493"/>
            <w:vAlign w:val="center"/>
            <w:tcMar>
              <w:top w:w="80" w:type="dxa"/>
              <w:bottom w:w="80" w:type="dxa"/>
              <w:left w:w="90" w:type="dxa"/>
              <w:right w:w="90" w:type="dxa"/>
            </w:tcMar>
            <w:tcBorders>
              <w:bottom w:val="single" w:sz="4" w:color="D7DCE0"/>
            </w:tcBorders>
          </w:tcPr>
          <w:p>
            <w:pPr>
              <w:keepNext w:val="0"/>
              <w:spacing w:after="0" w:line="276" w:lineRule="auto"/>
            </w:pPr>
            <w:r>
              <w:rPr>
                <w:sz w:val="20"/>
              </w:rPr>
              <w:t>来源声明、期间、生成时间 → ready 等状态与共同截止日；D，0 次</w:t>
            </w:r>
          </w:p>
        </w:tc>
        <w:tc>
          <w:tcPr>
            <w:tcW w:type="dxa" w:w="3888"/>
            <w:vAlign w:val="center"/>
            <w:tcMar>
              <w:top w:w="80" w:type="dxa"/>
              <w:bottom w:w="80" w:type="dxa"/>
              <w:left w:w="90" w:type="dxa"/>
              <w:right w:w="90" w:type="dxa"/>
            </w:tcMar>
            <w:tcBorders>
              <w:bottom w:val="single" w:sz="4" w:color="D7DCE0"/>
            </w:tcBorders>
          </w:tcPr>
          <w:p>
            <w:pPr>
              <w:keepNext w:val="0"/>
              <w:spacing w:after="0" w:line="276" w:lineRule="auto"/>
            </w:pPr>
            <w:r>
              <w:rPr>
                <w:sz w:val="20"/>
              </w:rPr>
              <w:t>完整性独立于记录数；空表不能自行推断零销量</w:t>
            </w:r>
          </w:p>
        </w:tc>
      </w:tr>
      <w:tr>
        <w:trPr>
          <w:cantSplit/>
        </w:trPr>
        <w:tc>
          <w:tcPr>
            <w:tcW w:type="dxa" w:w="1843"/>
            <w:vAlign w:val="center"/>
            <w:tcMar>
              <w:top w:w="80" w:type="dxa"/>
              <w:bottom w:w="80" w:type="dxa"/>
              <w:left w:w="90" w:type="dxa"/>
              <w:right w:w="90" w:type="dxa"/>
            </w:tcMar>
            <w:tcBorders>
              <w:bottom w:val="single" w:sz="4" w:color="D7DCE0"/>
            </w:tcBorders>
          </w:tcPr>
          <w:p>
            <w:pPr>
              <w:keepNext w:val="0"/>
              <w:spacing w:after="0" w:line="276" w:lineRule="auto"/>
            </w:pPr>
            <w:r>
              <w:rPr>
                <w:sz w:val="20"/>
              </w:rPr>
              <w:t>B07 交易生命周期 FR-03</w:t>
            </w:r>
          </w:p>
        </w:tc>
        <w:tc>
          <w:tcPr>
            <w:tcW w:type="dxa" w:w="4493"/>
            <w:vAlign w:val="center"/>
            <w:tcMar>
              <w:top w:w="80" w:type="dxa"/>
              <w:bottom w:w="80" w:type="dxa"/>
              <w:left w:w="90" w:type="dxa"/>
              <w:right w:w="90" w:type="dxa"/>
            </w:tcMar>
            <w:tcBorders>
              <w:bottom w:val="single" w:sz="4" w:color="D7DCE0"/>
            </w:tcBorders>
          </w:tcPr>
          <w:p>
            <w:pPr>
              <w:keepNext w:val="0"/>
              <w:spacing w:after="0" w:line="276" w:lineRule="auto"/>
            </w:pPr>
            <w:r>
              <w:rPr>
                <w:sz w:val="20"/>
              </w:rPr>
              <w:t>订单、退款、退货、冲销、换货 → 去重生命周期事实；D，0 次</w:t>
            </w:r>
          </w:p>
        </w:tc>
        <w:tc>
          <w:tcPr>
            <w:tcW w:type="dxa" w:w="3888"/>
            <w:vAlign w:val="center"/>
            <w:tcMar>
              <w:top w:w="80" w:type="dxa"/>
              <w:bottom w:w="80" w:type="dxa"/>
              <w:left w:w="90" w:type="dxa"/>
              <w:right w:w="90" w:type="dxa"/>
            </w:tcMar>
            <w:tcBorders>
              <w:bottom w:val="single" w:sz="4" w:color="D7DCE0"/>
            </w:tcBorders>
          </w:tcPr>
          <w:p>
            <w:pPr>
              <w:keepNext w:val="0"/>
              <w:spacing w:after="0" w:line="276" w:lineRule="auto"/>
            </w:pPr>
            <w:r>
              <w:rPr>
                <w:sz w:val="20"/>
              </w:rPr>
              <w:t>不用语言相似度关联订单；无法关联的数量单列</w:t>
            </w:r>
          </w:p>
        </w:tc>
      </w:tr>
      <w:tr>
        <w:trPr>
          <w:cantSplit/>
        </w:trPr>
        <w:tc>
          <w:tcPr>
            <w:tcW w:type="dxa" w:w="1843"/>
            <w:vAlign w:val="center"/>
            <w:tcMar>
              <w:top w:w="80" w:type="dxa"/>
              <w:bottom w:w="80" w:type="dxa"/>
              <w:left w:w="90" w:type="dxa"/>
              <w:right w:w="90" w:type="dxa"/>
            </w:tcMar>
            <w:tcBorders>
              <w:bottom w:val="single" w:sz="4" w:color="D7DCE0"/>
            </w:tcBorders>
          </w:tcPr>
          <w:p>
            <w:pPr>
              <w:keepNext w:val="0"/>
              <w:spacing w:after="0" w:line="276" w:lineRule="auto"/>
            </w:pPr>
            <w:r>
              <w:rPr>
                <w:sz w:val="20"/>
              </w:rPr>
              <w:t>B08 指标和成熟队列 FR-03</w:t>
            </w:r>
          </w:p>
        </w:tc>
        <w:tc>
          <w:tcPr>
            <w:tcW w:type="dxa" w:w="4493"/>
            <w:vAlign w:val="center"/>
            <w:tcMar>
              <w:top w:w="80" w:type="dxa"/>
              <w:bottom w:w="80" w:type="dxa"/>
              <w:left w:w="90" w:type="dxa"/>
              <w:right w:w="90" w:type="dxa"/>
            </w:tcMar>
            <w:tcBorders>
              <w:bottom w:val="single" w:sz="4" w:color="D7DCE0"/>
            </w:tcBorders>
          </w:tcPr>
          <w:p>
            <w:pPr>
              <w:keepNext w:val="0"/>
              <w:spacing w:after="0" w:line="276" w:lineRule="auto"/>
            </w:pPr>
            <w:r>
              <w:rPr>
                <w:sz w:val="20"/>
              </w:rPr>
              <w:t>固定版本事实 → 分子分母、金额、时间窗；D，0 次</w:t>
            </w:r>
          </w:p>
        </w:tc>
        <w:tc>
          <w:tcPr>
            <w:tcW w:type="dxa" w:w="3888"/>
            <w:vAlign w:val="center"/>
            <w:tcMar>
              <w:top w:w="80" w:type="dxa"/>
              <w:bottom w:w="80" w:type="dxa"/>
              <w:left w:w="90" w:type="dxa"/>
              <w:right w:w="90" w:type="dxa"/>
            </w:tcMar>
            <w:tcBorders>
              <w:bottom w:val="single" w:sz="4" w:color="D7DCE0"/>
            </w:tcBorders>
          </w:tcPr>
          <w:p>
            <w:pPr>
              <w:keepNext w:val="0"/>
              <w:spacing w:after="0" w:line="276" w:lineRule="auto"/>
            </w:pPr>
            <w:r>
              <w:rPr>
                <w:sz w:val="20"/>
              </w:rPr>
              <w:t>SQL/Decimal 处理粒度和币种；未成熟队列不进成熟率分母</w:t>
            </w:r>
          </w:p>
        </w:tc>
      </w:tr>
      <w:tr>
        <w:trPr>
          <w:cantSplit/>
        </w:trPr>
        <w:tc>
          <w:tcPr>
            <w:tcW w:type="dxa" w:w="1843"/>
            <w:vAlign w:val="center"/>
            <w:tcMar>
              <w:top w:w="80" w:type="dxa"/>
              <w:bottom w:w="80" w:type="dxa"/>
              <w:left w:w="90" w:type="dxa"/>
              <w:right w:w="90" w:type="dxa"/>
            </w:tcMar>
            <w:tcBorders>
              <w:bottom w:val="single" w:sz="4" w:color="D7DCE0"/>
            </w:tcBorders>
          </w:tcPr>
          <w:p>
            <w:pPr>
              <w:keepNext w:val="0"/>
              <w:spacing w:after="0" w:line="276" w:lineRule="auto"/>
            </w:pPr>
            <w:r>
              <w:rPr>
                <w:sz w:val="20"/>
              </w:rPr>
              <w:t>B09 统计及可比性 FR-03/04</w:t>
            </w:r>
          </w:p>
        </w:tc>
        <w:tc>
          <w:tcPr>
            <w:tcW w:type="dxa" w:w="4493"/>
            <w:vAlign w:val="center"/>
            <w:tcMar>
              <w:top w:w="80" w:type="dxa"/>
              <w:bottom w:w="80" w:type="dxa"/>
              <w:left w:w="90" w:type="dxa"/>
              <w:right w:w="90" w:type="dxa"/>
            </w:tcMar>
            <w:tcBorders>
              <w:bottom w:val="single" w:sz="4" w:color="D7DCE0"/>
            </w:tcBorders>
          </w:tcPr>
          <w:p>
            <w:pPr>
              <w:keepNext w:val="0"/>
              <w:spacing w:after="0" w:line="276" w:lineRule="auto"/>
            </w:pPr>
            <w:r>
              <w:rPr>
                <w:sz w:val="20"/>
              </w:rPr>
              <w:t>指标及样本 → 区间、检验、样本门槛与可比性提示；D，0 次</w:t>
            </w:r>
          </w:p>
        </w:tc>
        <w:tc>
          <w:tcPr>
            <w:tcW w:type="dxa" w:w="3888"/>
            <w:vAlign w:val="center"/>
            <w:tcMar>
              <w:top w:w="80" w:type="dxa"/>
              <w:bottom w:w="80" w:type="dxa"/>
              <w:left w:w="90" w:type="dxa"/>
              <w:right w:w="90" w:type="dxa"/>
            </w:tcMar>
            <w:tcBorders>
              <w:bottom w:val="single" w:sz="4" w:color="D7DCE0"/>
            </w:tcBorders>
          </w:tcPr>
          <w:p>
            <w:pPr>
              <w:keepNext w:val="0"/>
              <w:spacing w:after="0" w:line="276" w:lineRule="auto"/>
            </w:pPr>
            <w:r>
              <w:rPr>
                <w:sz w:val="20"/>
              </w:rPr>
              <w:t>按需求指定方法；零分母、新品、促销、变体结构变化有明确状态</w:t>
            </w:r>
          </w:p>
        </w:tc>
      </w:tr>
    </w:tbl>
    <w:p>
      <w:pPr>
        <w:spacing w:after="20" w:before="0" w:line="240" w:lineRule="auto"/>
      </w:pPr>
      <w:r>
        <w:rPr>
          <w:sz w:val="4"/>
        </w:rPr>
      </w:r>
    </w:p>
    <w:p>
      <w:pPr>
        <w:keepNext/>
      </w:pPr>
      <w:r>
        <w:rPr>
          <w:b/>
        </w:rPr>
        <w:t>任务矩阵二 反馈理解与证据检索</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1843"/>
        <w:gridCol w:w="4493"/>
        <w:gridCol w:w="3888"/>
      </w:tblGrid>
      <w:tr>
        <w:trPr>
          <w:cantSplit/>
          <w:tblHeader/>
        </w:trPr>
        <w:tc>
          <w:tcPr>
            <w:tcW w:type="dxa" w:w="1843"/>
            <w:vAlign w:val="center"/>
            <w:tcMar>
              <w:top w:w="80" w:type="dxa"/>
              <w:bottom w:w="80" w:type="dxa"/>
              <w:left w:w="90" w:type="dxa"/>
              <w:right w:w="90" w:type="dxa"/>
            </w:tcMar>
            <w:tcBorders>
              <w:bottom w:val="single" w:sz="4" w:color="D7DCE0"/>
            </w:tcBorders>
            <w:shd w:fill="EEF1F3"/>
          </w:tcPr>
          <w:p>
            <w:pPr>
              <w:keepNext/>
              <w:spacing w:after="0" w:line="276" w:lineRule="auto"/>
            </w:pPr>
            <w:r>
              <w:rPr>
                <w:b/>
                <w:sz w:val="20"/>
              </w:rPr>
              <w:t>业务单元与需求</w:t>
            </w:r>
          </w:p>
        </w:tc>
        <w:tc>
          <w:tcPr>
            <w:tcW w:type="dxa" w:w="4493"/>
            <w:vAlign w:val="center"/>
            <w:tcMar>
              <w:top w:w="80" w:type="dxa"/>
              <w:bottom w:w="80" w:type="dxa"/>
              <w:left w:w="90" w:type="dxa"/>
              <w:right w:w="90" w:type="dxa"/>
            </w:tcMar>
            <w:tcBorders>
              <w:bottom w:val="single" w:sz="4" w:color="D7DCE0"/>
            </w:tcBorders>
            <w:shd w:fill="EEF1F3"/>
          </w:tcPr>
          <w:p>
            <w:pPr>
              <w:keepNext/>
              <w:spacing w:after="0" w:line="276" w:lineRule="auto"/>
            </w:pPr>
            <w:r>
              <w:rPr>
                <w:b/>
                <w:sz w:val="20"/>
              </w:rPr>
              <w:t>输入与输出及执行方式</w:t>
            </w:r>
          </w:p>
        </w:tc>
        <w:tc>
          <w:tcPr>
            <w:tcW w:type="dxa" w:w="3888"/>
            <w:vAlign w:val="center"/>
            <w:tcMar>
              <w:top w:w="80" w:type="dxa"/>
              <w:bottom w:w="80" w:type="dxa"/>
              <w:left w:w="90" w:type="dxa"/>
              <w:right w:w="90" w:type="dxa"/>
            </w:tcMar>
            <w:tcBorders>
              <w:bottom w:val="single" w:sz="4" w:color="D7DCE0"/>
            </w:tcBorders>
            <w:shd w:fill="EEF1F3"/>
          </w:tcPr>
          <w:p>
            <w:pPr>
              <w:keepNext/>
              <w:spacing w:after="0" w:line="276" w:lineRule="auto"/>
            </w:pPr>
            <w:r>
              <w:rPr>
                <w:b/>
                <w:sz w:val="20"/>
              </w:rPr>
              <w:t>选择理由与异常边界</w:t>
            </w:r>
          </w:p>
        </w:tc>
      </w:tr>
      <w:tr>
        <w:trPr>
          <w:cantSplit/>
        </w:trPr>
        <w:tc>
          <w:tcPr>
            <w:tcW w:type="dxa" w:w="1843"/>
            <w:vAlign w:val="center"/>
            <w:tcMar>
              <w:top w:w="80" w:type="dxa"/>
              <w:bottom w:w="80" w:type="dxa"/>
              <w:left w:w="90" w:type="dxa"/>
              <w:right w:w="90" w:type="dxa"/>
            </w:tcMar>
            <w:tcBorders>
              <w:bottom w:val="single" w:sz="4" w:color="D7DCE0"/>
            </w:tcBorders>
          </w:tcPr>
          <w:p>
            <w:pPr>
              <w:keepNext w:val="0"/>
              <w:spacing w:after="0" w:line="276" w:lineRule="auto"/>
            </w:pPr>
            <w:r>
              <w:rPr>
                <w:sz w:val="20"/>
              </w:rPr>
              <w:t>B10 普通反馈标注 FR-07</w:t>
            </w:r>
          </w:p>
        </w:tc>
        <w:tc>
          <w:tcPr>
            <w:tcW w:type="dxa" w:w="4493"/>
            <w:vAlign w:val="center"/>
            <w:tcMar>
              <w:top w:w="80" w:type="dxa"/>
              <w:bottom w:w="80" w:type="dxa"/>
              <w:left w:w="90" w:type="dxa"/>
              <w:right w:w="90" w:type="dxa"/>
            </w:tcMar>
            <w:tcBorders>
              <w:bottom w:val="single" w:sz="4" w:color="D7DCE0"/>
            </w:tcBorders>
          </w:tcPr>
          <w:p>
            <w:pPr>
              <w:keepNext w:val="0"/>
              <w:spacing w:after="0" w:line="276" w:lineRule="auto"/>
            </w:pPr>
            <w:r>
              <w:rPr>
                <w:sz w:val="20"/>
              </w:rPr>
              <w:t>一条原文、语言、主题词典 → 多主题、极性、原文跨度、安全线索；S，1 次</w:t>
            </w:r>
          </w:p>
        </w:tc>
        <w:tc>
          <w:tcPr>
            <w:tcW w:type="dxa" w:w="3888"/>
            <w:vAlign w:val="center"/>
            <w:tcMar>
              <w:top w:w="80" w:type="dxa"/>
              <w:bottom w:w="80" w:type="dxa"/>
              <w:left w:w="90" w:type="dxa"/>
              <w:right w:w="90" w:type="dxa"/>
            </w:tcMar>
            <w:tcBorders>
              <w:bottom w:val="single" w:sz="4" w:color="D7DCE0"/>
            </w:tcBorders>
          </w:tcPr>
          <w:p>
            <w:pPr>
              <w:keepNext w:val="0"/>
              <w:spacing w:after="0" w:line="276" w:lineRule="auto"/>
            </w:pPr>
            <w:r>
              <w:rPr>
                <w:sz w:val="20"/>
              </w:rPr>
              <w:t>同一次提取有关字段，避免主题、情感和安全各调用一次；跨度必须回查原文</w:t>
            </w:r>
          </w:p>
        </w:tc>
      </w:tr>
      <w:tr>
        <w:trPr>
          <w:cantSplit/>
        </w:trPr>
        <w:tc>
          <w:tcPr>
            <w:tcW w:type="dxa" w:w="1843"/>
            <w:vAlign w:val="center"/>
            <w:tcMar>
              <w:top w:w="80" w:type="dxa"/>
              <w:bottom w:w="80" w:type="dxa"/>
              <w:left w:w="90" w:type="dxa"/>
              <w:right w:w="90" w:type="dxa"/>
            </w:tcMar>
            <w:tcBorders>
              <w:bottom w:val="single" w:sz="4" w:color="D7DCE0"/>
            </w:tcBorders>
          </w:tcPr>
          <w:p>
            <w:pPr>
              <w:keepNext w:val="0"/>
              <w:spacing w:after="0" w:line="276" w:lineRule="auto"/>
            </w:pPr>
            <w:r>
              <w:rPr>
                <w:sz w:val="20"/>
              </w:rPr>
              <w:t>B11 超长反馈 FR-07</w:t>
            </w:r>
          </w:p>
        </w:tc>
        <w:tc>
          <w:tcPr>
            <w:tcW w:type="dxa" w:w="4493"/>
            <w:vAlign w:val="center"/>
            <w:tcMar>
              <w:top w:w="80" w:type="dxa"/>
              <w:bottom w:w="80" w:type="dxa"/>
              <w:left w:w="90" w:type="dxa"/>
              <w:right w:w="90" w:type="dxa"/>
            </w:tcMar>
            <w:tcBorders>
              <w:bottom w:val="single" w:sz="4" w:color="D7DCE0"/>
            </w:tcBorders>
          </w:tcPr>
          <w:p>
            <w:pPr>
              <w:keepNext w:val="0"/>
              <w:spacing w:after="0" w:line="276" w:lineRule="auto"/>
            </w:pPr>
            <w:r>
              <w:rPr>
                <w:sz w:val="20"/>
              </w:rPr>
              <w:t>原文及位置映射 → 分块标签及整条有效性；F，k 次</w:t>
            </w:r>
          </w:p>
        </w:tc>
        <w:tc>
          <w:tcPr>
            <w:tcW w:type="dxa" w:w="3888"/>
            <w:vAlign w:val="center"/>
            <w:tcMar>
              <w:top w:w="80" w:type="dxa"/>
              <w:bottom w:w="80" w:type="dxa"/>
              <w:left w:w="90" w:type="dxa"/>
              <w:right w:w="90" w:type="dxa"/>
            </w:tcMar>
            <w:tcBorders>
              <w:bottom w:val="single" w:sz="4" w:color="D7DCE0"/>
            </w:tcBorders>
          </w:tcPr>
          <w:p>
            <w:pPr>
              <w:keepNext w:val="0"/>
              <w:spacing w:after="0" w:line="276" w:lineRule="auto"/>
            </w:pPr>
            <w:r>
              <w:rPr>
                <w:sz w:val="20"/>
              </w:rPr>
              <w:t>固定分块并行 S，代码合并同主题跨度；任一必要块失败则标注不完整，不算 k 条评论</w:t>
            </w:r>
          </w:p>
        </w:tc>
      </w:tr>
      <w:tr>
        <w:trPr>
          <w:cantSplit/>
        </w:trPr>
        <w:tc>
          <w:tcPr>
            <w:tcW w:type="dxa" w:w="1843"/>
            <w:vAlign w:val="center"/>
            <w:tcMar>
              <w:top w:w="80" w:type="dxa"/>
              <w:bottom w:w="80" w:type="dxa"/>
              <w:left w:w="90" w:type="dxa"/>
              <w:right w:w="90" w:type="dxa"/>
            </w:tcMar>
            <w:tcBorders>
              <w:bottom w:val="single" w:sz="4" w:color="D7DCE0"/>
            </w:tcBorders>
          </w:tcPr>
          <w:p>
            <w:pPr>
              <w:keepNext w:val="0"/>
              <w:spacing w:after="0" w:line="276" w:lineRule="auto"/>
            </w:pPr>
            <w:r>
              <w:rPr>
                <w:sz w:val="20"/>
              </w:rPr>
              <w:t>B12 重复体验识别 FR-07</w:t>
            </w:r>
          </w:p>
        </w:tc>
        <w:tc>
          <w:tcPr>
            <w:tcW w:type="dxa" w:w="4493"/>
            <w:vAlign w:val="center"/>
            <w:tcMar>
              <w:top w:w="80" w:type="dxa"/>
              <w:bottom w:w="80" w:type="dxa"/>
              <w:left w:w="90" w:type="dxa"/>
              <w:right w:w="90" w:type="dxa"/>
            </w:tcMar>
            <w:tcBorders>
              <w:bottom w:val="single" w:sz="4" w:color="D7DCE0"/>
            </w:tcBorders>
          </w:tcPr>
          <w:p>
            <w:pPr>
              <w:keepNext w:val="0"/>
              <w:spacing w:after="0" w:line="276" w:lineRule="auto"/>
            </w:pPr>
            <w:r>
              <w:rPr>
                <w:sz w:val="20"/>
              </w:rPr>
              <w:t>来源 ID、明确关联键 → 去重关系和疑似重复提示；D，0 次</w:t>
            </w:r>
          </w:p>
        </w:tc>
        <w:tc>
          <w:tcPr>
            <w:tcW w:type="dxa" w:w="3888"/>
            <w:vAlign w:val="center"/>
            <w:tcMar>
              <w:top w:w="80" w:type="dxa"/>
              <w:bottom w:w="80" w:type="dxa"/>
              <w:left w:w="90" w:type="dxa"/>
              <w:right w:w="90" w:type="dxa"/>
            </w:tcMar>
            <w:tcBorders>
              <w:bottom w:val="single" w:sz="4" w:color="D7DCE0"/>
            </w:tcBorders>
          </w:tcPr>
          <w:p>
            <w:pPr>
              <w:keepNext w:val="0"/>
              <w:spacing w:after="0" w:line="276" w:lineRule="auto"/>
            </w:pPr>
            <w:r>
              <w:rPr>
                <w:sz w:val="20"/>
              </w:rPr>
              <w:t>相似文本只能提示，不能自动认定同一个买家或同一订单</w:t>
            </w:r>
          </w:p>
        </w:tc>
      </w:tr>
      <w:tr>
        <w:trPr>
          <w:cantSplit/>
        </w:trPr>
        <w:tc>
          <w:tcPr>
            <w:tcW w:type="dxa" w:w="1843"/>
            <w:vAlign w:val="center"/>
            <w:tcMar>
              <w:top w:w="80" w:type="dxa"/>
              <w:bottom w:w="80" w:type="dxa"/>
              <w:left w:w="90" w:type="dxa"/>
              <w:right w:w="90" w:type="dxa"/>
            </w:tcMar>
            <w:tcBorders>
              <w:bottom w:val="single" w:sz="4" w:color="D7DCE0"/>
            </w:tcBorders>
          </w:tcPr>
          <w:p>
            <w:pPr>
              <w:keepNext w:val="0"/>
              <w:spacing w:after="0" w:line="276" w:lineRule="auto"/>
            </w:pPr>
            <w:r>
              <w:rPr>
                <w:sz w:val="20"/>
              </w:rPr>
              <w:t>B13 主题趋势 FR-07</w:t>
            </w:r>
          </w:p>
        </w:tc>
        <w:tc>
          <w:tcPr>
            <w:tcW w:type="dxa" w:w="4493"/>
            <w:vAlign w:val="center"/>
            <w:tcMar>
              <w:top w:w="80" w:type="dxa"/>
              <w:bottom w:w="80" w:type="dxa"/>
              <w:left w:w="90" w:type="dxa"/>
              <w:right w:w="90" w:type="dxa"/>
            </w:tcMar>
            <w:tcBorders>
              <w:bottom w:val="single" w:sz="4" w:color="D7DCE0"/>
            </w:tcBorders>
          </w:tcPr>
          <w:p>
            <w:pPr>
              <w:keepNext w:val="0"/>
              <w:spacing w:after="0" w:line="276" w:lineRule="auto"/>
            </w:pPr>
            <w:r>
              <w:rPr>
                <w:sz w:val="20"/>
              </w:rPr>
              <w:t>全部有效标签及覆盖 → 主题分母、增幅、区间；D，0 次</w:t>
            </w:r>
          </w:p>
        </w:tc>
        <w:tc>
          <w:tcPr>
            <w:tcW w:type="dxa" w:w="3888"/>
            <w:vAlign w:val="center"/>
            <w:tcMar>
              <w:top w:w="80" w:type="dxa"/>
              <w:bottom w:w="80" w:type="dxa"/>
              <w:left w:w="90" w:type="dxa"/>
              <w:right w:w="90" w:type="dxa"/>
            </w:tcMar>
            <w:tcBorders>
              <w:bottom w:val="single" w:sz="4" w:color="D7DCE0"/>
            </w:tcBorders>
          </w:tcPr>
          <w:p>
            <w:pPr>
              <w:keepNext w:val="0"/>
              <w:spacing w:after="0" w:line="276" w:lineRule="auto"/>
            </w:pPr>
            <w:r>
              <w:rPr>
                <w:sz w:val="20"/>
              </w:rPr>
              <w:t>不用检索 TopK 代替总体，也不让摘要模型数评论</w:t>
            </w:r>
          </w:p>
        </w:tc>
      </w:tr>
      <w:tr>
        <w:trPr>
          <w:cantSplit/>
        </w:trPr>
        <w:tc>
          <w:tcPr>
            <w:tcW w:type="dxa" w:w="1843"/>
            <w:vAlign w:val="center"/>
            <w:tcMar>
              <w:top w:w="80" w:type="dxa"/>
              <w:bottom w:w="80" w:type="dxa"/>
              <w:left w:w="90" w:type="dxa"/>
              <w:right w:w="90" w:type="dxa"/>
            </w:tcMar>
            <w:tcBorders>
              <w:bottom w:val="single" w:sz="4" w:color="D7DCE0"/>
            </w:tcBorders>
          </w:tcPr>
          <w:p>
            <w:pPr>
              <w:keepNext w:val="0"/>
              <w:spacing w:after="0" w:line="276" w:lineRule="auto"/>
            </w:pPr>
            <w:r>
              <w:rPr>
                <w:sz w:val="20"/>
              </w:rPr>
              <w:t>B14 原文搜索 FR-07</w:t>
            </w:r>
          </w:p>
        </w:tc>
        <w:tc>
          <w:tcPr>
            <w:tcW w:type="dxa" w:w="4493"/>
            <w:vAlign w:val="center"/>
            <w:tcMar>
              <w:top w:w="80" w:type="dxa"/>
              <w:bottom w:w="80" w:type="dxa"/>
              <w:left w:w="90" w:type="dxa"/>
              <w:right w:w="90" w:type="dxa"/>
            </w:tcMar>
            <w:tcBorders>
              <w:bottom w:val="single" w:sz="4" w:color="D7DCE0"/>
            </w:tcBorders>
          </w:tcPr>
          <w:p>
            <w:pPr>
              <w:keepNext w:val="0"/>
              <w:spacing w:after="0" w:line="276" w:lineRule="auto"/>
            </w:pPr>
            <w:r>
              <w:rPr>
                <w:sz w:val="20"/>
              </w:rPr>
              <w:t>对象、期间、词语或标签 → 授权原文与引用；D，0 次</w:t>
            </w:r>
          </w:p>
        </w:tc>
        <w:tc>
          <w:tcPr>
            <w:tcW w:type="dxa" w:w="3888"/>
            <w:vAlign w:val="center"/>
            <w:tcMar>
              <w:top w:w="80" w:type="dxa"/>
              <w:bottom w:w="80" w:type="dxa"/>
              <w:left w:w="90" w:type="dxa"/>
              <w:right w:w="90" w:type="dxa"/>
            </w:tcMar>
            <w:tcBorders>
              <w:bottom w:val="single" w:sz="4" w:color="D7DCE0"/>
            </w:tcBorders>
          </w:tcPr>
          <w:p>
            <w:pPr>
              <w:keepNext w:val="0"/>
              <w:spacing w:after="0" w:line="276" w:lineRule="auto"/>
            </w:pPr>
            <w:r>
              <w:rPr>
                <w:sz w:val="20"/>
              </w:rPr>
              <w:t>关键词、别名、过滤、排序固定；自然语言理解另计 B29</w:t>
            </w:r>
          </w:p>
        </w:tc>
      </w:tr>
      <w:tr>
        <w:trPr>
          <w:cantSplit/>
        </w:trPr>
        <w:tc>
          <w:tcPr>
            <w:tcW w:type="dxa" w:w="1843"/>
            <w:vAlign w:val="center"/>
            <w:tcMar>
              <w:top w:w="80" w:type="dxa"/>
              <w:bottom w:w="80" w:type="dxa"/>
              <w:left w:w="90" w:type="dxa"/>
              <w:right w:w="90" w:type="dxa"/>
            </w:tcMar>
            <w:tcBorders>
              <w:bottom w:val="single" w:sz="4" w:color="D7DCE0"/>
            </w:tcBorders>
          </w:tcPr>
          <w:p>
            <w:pPr>
              <w:keepNext w:val="0"/>
              <w:spacing w:after="0" w:line="276" w:lineRule="auto"/>
            </w:pPr>
            <w:r>
              <w:rPr>
                <w:sz w:val="20"/>
              </w:rPr>
              <w:t>B15 代表及反证选择 FR-07/08</w:t>
            </w:r>
          </w:p>
        </w:tc>
        <w:tc>
          <w:tcPr>
            <w:tcW w:type="dxa" w:w="4493"/>
            <w:vAlign w:val="center"/>
            <w:tcMar>
              <w:top w:w="80" w:type="dxa"/>
              <w:bottom w:w="80" w:type="dxa"/>
              <w:left w:w="90" w:type="dxa"/>
              <w:right w:w="90" w:type="dxa"/>
            </w:tcMar>
            <w:tcBorders>
              <w:bottom w:val="single" w:sz="4" w:color="D7DCE0"/>
            </w:tcBorders>
          </w:tcPr>
          <w:p>
            <w:pPr>
              <w:keepNext w:val="0"/>
              <w:spacing w:after="0" w:line="276" w:lineRule="auto"/>
            </w:pPr>
            <w:r>
              <w:rPr>
                <w:sz w:val="20"/>
              </w:rPr>
              <w:t>标签、事实及候选 → 正反证据集合；D，0 次</w:t>
            </w:r>
          </w:p>
        </w:tc>
        <w:tc>
          <w:tcPr>
            <w:tcW w:type="dxa" w:w="3888"/>
            <w:vAlign w:val="center"/>
            <w:tcMar>
              <w:top w:w="80" w:type="dxa"/>
              <w:bottom w:w="80" w:type="dxa"/>
              <w:left w:w="90" w:type="dxa"/>
              <w:right w:w="90" w:type="dxa"/>
            </w:tcMar>
            <w:tcBorders>
              <w:bottom w:val="single" w:sz="4" w:color="D7DCE0"/>
            </w:tcBorders>
          </w:tcPr>
          <w:p>
            <w:pPr>
              <w:keepNext w:val="0"/>
              <w:spacing w:after="0" w:line="276" w:lineRule="auto"/>
            </w:pPr>
            <w:r>
              <w:rPr>
                <w:sz w:val="20"/>
              </w:rPr>
              <w:t>按主题、时期、变体分层和稳定顺序取样；保留相反样本，不能只挑支持结论的差评</w:t>
            </w:r>
          </w:p>
        </w:tc>
      </w:tr>
      <w:tr>
        <w:trPr>
          <w:cantSplit/>
        </w:trPr>
        <w:tc>
          <w:tcPr>
            <w:tcW w:type="dxa" w:w="1843"/>
            <w:vAlign w:val="center"/>
            <w:tcMar>
              <w:top w:w="80" w:type="dxa"/>
              <w:bottom w:w="80" w:type="dxa"/>
              <w:left w:w="90" w:type="dxa"/>
              <w:right w:w="90" w:type="dxa"/>
            </w:tcMar>
            <w:tcBorders>
              <w:bottom w:val="single" w:sz="4" w:color="D7DCE0"/>
            </w:tcBorders>
          </w:tcPr>
          <w:p>
            <w:pPr>
              <w:keepNext w:val="0"/>
              <w:spacing w:after="0" w:line="276" w:lineRule="auto"/>
            </w:pPr>
            <w:r>
              <w:rPr>
                <w:sz w:val="20"/>
              </w:rPr>
              <w:t>B16 安全线索分流 FR-04/07</w:t>
            </w:r>
          </w:p>
        </w:tc>
        <w:tc>
          <w:tcPr>
            <w:tcW w:type="dxa" w:w="4493"/>
            <w:vAlign w:val="center"/>
            <w:tcMar>
              <w:top w:w="80" w:type="dxa"/>
              <w:bottom w:w="80" w:type="dxa"/>
              <w:left w:w="90" w:type="dxa"/>
              <w:right w:w="90" w:type="dxa"/>
            </w:tcMar>
            <w:tcBorders>
              <w:bottom w:val="single" w:sz="4" w:color="D7DCE0"/>
            </w:tcBorders>
          </w:tcPr>
          <w:p>
            <w:pPr>
              <w:keepNext w:val="0"/>
              <w:spacing w:after="0" w:line="276" w:lineRule="auto"/>
            </w:pPr>
            <w:r>
              <w:rPr>
                <w:sz w:val="20"/>
              </w:rPr>
              <w:t>原文、规则命中及 B10 标签 → 需人工核查事件；F+H，新增 0 次</w:t>
            </w:r>
          </w:p>
        </w:tc>
        <w:tc>
          <w:tcPr>
            <w:tcW w:type="dxa" w:w="3888"/>
            <w:vAlign w:val="center"/>
            <w:tcMar>
              <w:top w:w="80" w:type="dxa"/>
              <w:bottom w:w="80" w:type="dxa"/>
              <w:left w:w="90" w:type="dxa"/>
              <w:right w:w="90" w:type="dxa"/>
            </w:tcMar>
            <w:tcBorders>
              <w:bottom w:val="single" w:sz="4" w:color="D7DCE0"/>
            </w:tcBorders>
          </w:tcPr>
          <w:p>
            <w:pPr>
              <w:keepNext w:val="0"/>
              <w:spacing w:after="0" w:line="276" w:lineRule="auto"/>
            </w:pPr>
            <w:r>
              <w:rPr>
                <w:sz w:val="20"/>
              </w:rPr>
              <w:t>规则立即分流，模型标签补充语境；否定、假设和对象由人工核查，模型失败不能解除安全提醒</w:t>
            </w:r>
          </w:p>
        </w:tc>
      </w:tr>
    </w:tbl>
    <w:p>
      <w:pPr>
        <w:spacing w:after="20" w:before="0" w:line="240" w:lineRule="auto"/>
      </w:pPr>
      <w:r>
        <w:rPr>
          <w:sz w:val="4"/>
        </w:rPr>
      </w:r>
    </w:p>
    <w:p>
      <w:r>
        <w:t>B10 不额外做全文翻译；中文解释可使用原文跨度。超长内容的主题汇总以标签并集及原文引用为基础；涉及跨块否定或指代而无法可靠合并时标为歧义并人工核查，不为了省一次调用强行定性。安全独立优先队列，不等待普通评论全量标注完成。</w:t>
      </w:r>
    </w:p>
    <w:p>
      <w:pPr>
        <w:keepNext/>
      </w:pPr>
      <w:r>
        <w:rPr>
          <w:b/>
        </w:rPr>
        <w:t>任务矩阵三 检测与诊断</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1843"/>
        <w:gridCol w:w="4493"/>
        <w:gridCol w:w="3888"/>
      </w:tblGrid>
      <w:tr>
        <w:trPr>
          <w:cantSplit/>
          <w:tblHeader/>
        </w:trPr>
        <w:tc>
          <w:tcPr>
            <w:tcW w:type="dxa" w:w="1843"/>
            <w:vAlign w:val="center"/>
            <w:tcMar>
              <w:top w:w="80" w:type="dxa"/>
              <w:bottom w:w="80" w:type="dxa"/>
              <w:left w:w="90" w:type="dxa"/>
              <w:right w:w="90" w:type="dxa"/>
            </w:tcMar>
            <w:tcBorders>
              <w:bottom w:val="single" w:sz="4" w:color="D7DCE0"/>
            </w:tcBorders>
            <w:shd w:fill="EEF1F3"/>
          </w:tcPr>
          <w:p>
            <w:pPr>
              <w:keepNext/>
              <w:spacing w:after="0" w:line="276" w:lineRule="auto"/>
            </w:pPr>
            <w:r>
              <w:rPr>
                <w:b/>
                <w:sz w:val="20"/>
              </w:rPr>
              <w:t>业务单元与需求</w:t>
            </w:r>
          </w:p>
        </w:tc>
        <w:tc>
          <w:tcPr>
            <w:tcW w:type="dxa" w:w="4493"/>
            <w:vAlign w:val="center"/>
            <w:tcMar>
              <w:top w:w="80" w:type="dxa"/>
              <w:bottom w:w="80" w:type="dxa"/>
              <w:left w:w="90" w:type="dxa"/>
              <w:right w:w="90" w:type="dxa"/>
            </w:tcMar>
            <w:tcBorders>
              <w:bottom w:val="single" w:sz="4" w:color="D7DCE0"/>
            </w:tcBorders>
            <w:shd w:fill="EEF1F3"/>
          </w:tcPr>
          <w:p>
            <w:pPr>
              <w:keepNext/>
              <w:spacing w:after="0" w:line="276" w:lineRule="auto"/>
            </w:pPr>
            <w:r>
              <w:rPr>
                <w:b/>
                <w:sz w:val="20"/>
              </w:rPr>
              <w:t>输入与输出及执行方式</w:t>
            </w:r>
          </w:p>
        </w:tc>
        <w:tc>
          <w:tcPr>
            <w:tcW w:type="dxa" w:w="3888"/>
            <w:vAlign w:val="center"/>
            <w:tcMar>
              <w:top w:w="80" w:type="dxa"/>
              <w:bottom w:w="80" w:type="dxa"/>
              <w:left w:w="90" w:type="dxa"/>
              <w:right w:w="90" w:type="dxa"/>
            </w:tcMar>
            <w:tcBorders>
              <w:bottom w:val="single" w:sz="4" w:color="D7DCE0"/>
            </w:tcBorders>
            <w:shd w:fill="EEF1F3"/>
          </w:tcPr>
          <w:p>
            <w:pPr>
              <w:keepNext/>
              <w:spacing w:after="0" w:line="276" w:lineRule="auto"/>
            </w:pPr>
            <w:r>
              <w:rPr>
                <w:b/>
                <w:sz w:val="20"/>
              </w:rPr>
              <w:t>选择理由与异常边界</w:t>
            </w:r>
          </w:p>
        </w:tc>
      </w:tr>
      <w:tr>
        <w:trPr>
          <w:cantSplit/>
        </w:trPr>
        <w:tc>
          <w:tcPr>
            <w:tcW w:type="dxa" w:w="1843"/>
            <w:vAlign w:val="center"/>
            <w:tcMar>
              <w:top w:w="80" w:type="dxa"/>
              <w:bottom w:w="80" w:type="dxa"/>
              <w:left w:w="90" w:type="dxa"/>
              <w:right w:w="90" w:type="dxa"/>
            </w:tcMar>
            <w:tcBorders>
              <w:bottom w:val="single" w:sz="4" w:color="D7DCE0"/>
            </w:tcBorders>
          </w:tcPr>
          <w:p>
            <w:pPr>
              <w:keepNext w:val="0"/>
              <w:spacing w:after="0" w:line="276" w:lineRule="auto"/>
            </w:pPr>
            <w:r>
              <w:rPr>
                <w:sz w:val="20"/>
              </w:rPr>
              <w:t>B17 异常触发和优先级 FR-04/05</w:t>
            </w:r>
          </w:p>
        </w:tc>
        <w:tc>
          <w:tcPr>
            <w:tcW w:type="dxa" w:w="4493"/>
            <w:vAlign w:val="center"/>
            <w:tcMar>
              <w:top w:w="80" w:type="dxa"/>
              <w:bottom w:w="80" w:type="dxa"/>
              <w:left w:w="90" w:type="dxa"/>
              <w:right w:w="90" w:type="dxa"/>
            </w:tcMar>
            <w:tcBorders>
              <w:bottom w:val="single" w:sz="4" w:color="D7DCE0"/>
            </w:tcBorders>
          </w:tcPr>
          <w:p>
            <w:pPr>
              <w:keepNext w:val="0"/>
              <w:spacing w:after="0" w:line="276" w:lineRule="auto"/>
            </w:pPr>
            <w:r>
              <w:rPr>
                <w:sz w:val="20"/>
              </w:rPr>
              <w:t>指标、阈值、持续日 → 命中及排序；D，0 次</w:t>
            </w:r>
          </w:p>
        </w:tc>
        <w:tc>
          <w:tcPr>
            <w:tcW w:type="dxa" w:w="3888"/>
            <w:vAlign w:val="center"/>
            <w:tcMar>
              <w:top w:w="80" w:type="dxa"/>
              <w:bottom w:w="80" w:type="dxa"/>
              <w:left w:w="90" w:type="dxa"/>
              <w:right w:w="90" w:type="dxa"/>
            </w:tcMar>
            <w:tcBorders>
              <w:bottom w:val="single" w:sz="4" w:color="D7DCE0"/>
            </w:tcBorders>
          </w:tcPr>
          <w:p>
            <w:pPr>
              <w:keepNext w:val="0"/>
              <w:spacing w:after="0" w:line="276" w:lineRule="auto"/>
            </w:pPr>
            <w:r>
              <w:rPr>
                <w:sz w:val="20"/>
              </w:rPr>
              <w:t>规则决定严重度和影响；未知影响不编造损失金额</w:t>
            </w:r>
          </w:p>
        </w:tc>
      </w:tr>
      <w:tr>
        <w:trPr>
          <w:cantSplit/>
        </w:trPr>
        <w:tc>
          <w:tcPr>
            <w:tcW w:type="dxa" w:w="1843"/>
            <w:vAlign w:val="center"/>
            <w:tcMar>
              <w:top w:w="80" w:type="dxa"/>
              <w:bottom w:w="80" w:type="dxa"/>
              <w:left w:w="90" w:type="dxa"/>
              <w:right w:w="90" w:type="dxa"/>
            </w:tcMar>
            <w:tcBorders>
              <w:bottom w:val="single" w:sz="4" w:color="D7DCE0"/>
            </w:tcBorders>
          </w:tcPr>
          <w:p>
            <w:pPr>
              <w:keepNext w:val="0"/>
              <w:spacing w:after="0" w:line="276" w:lineRule="auto"/>
            </w:pPr>
            <w:r>
              <w:rPr>
                <w:sz w:val="20"/>
              </w:rPr>
              <w:t>B18 归并复发与提醒 FR-05/11</w:t>
            </w:r>
          </w:p>
        </w:tc>
        <w:tc>
          <w:tcPr>
            <w:tcW w:type="dxa" w:w="4493"/>
            <w:vAlign w:val="center"/>
            <w:tcMar>
              <w:top w:w="80" w:type="dxa"/>
              <w:bottom w:w="80" w:type="dxa"/>
              <w:left w:w="90" w:type="dxa"/>
              <w:right w:w="90" w:type="dxa"/>
            </w:tcMar>
            <w:tcBorders>
              <w:bottom w:val="single" w:sz="4" w:color="D7DCE0"/>
            </w:tcBorders>
          </w:tcPr>
          <w:p>
            <w:pPr>
              <w:keepNext w:val="0"/>
              <w:spacing w:after="0" w:line="276" w:lineRule="auto"/>
            </w:pPr>
            <w:r>
              <w:rPr>
                <w:sz w:val="20"/>
              </w:rPr>
              <w:t>新命中、历史事件 → 事件状态及提醒；F，0 次</w:t>
            </w:r>
          </w:p>
        </w:tc>
        <w:tc>
          <w:tcPr>
            <w:tcW w:type="dxa" w:w="3888"/>
            <w:vAlign w:val="center"/>
            <w:tcMar>
              <w:top w:w="80" w:type="dxa"/>
              <w:bottom w:w="80" w:type="dxa"/>
              <w:left w:w="90" w:type="dxa"/>
              <w:right w:w="90" w:type="dxa"/>
            </w:tcMar>
            <w:tcBorders>
              <w:bottom w:val="single" w:sz="4" w:color="D7DCE0"/>
            </w:tcBorders>
          </w:tcPr>
          <w:p>
            <w:pPr>
              <w:keepNext w:val="0"/>
              <w:spacing w:after="0" w:line="276" w:lineRule="auto"/>
            </w:pPr>
            <w:r>
              <w:rPr>
                <w:sz w:val="20"/>
              </w:rPr>
              <w:t>预设问题族、持续、复发和升级规则；人工合并拆分留审计</w:t>
            </w:r>
          </w:p>
        </w:tc>
      </w:tr>
      <w:tr>
        <w:trPr>
          <w:cantSplit/>
        </w:trPr>
        <w:tc>
          <w:tcPr>
            <w:tcW w:type="dxa" w:w="1843"/>
            <w:vAlign w:val="center"/>
            <w:tcMar>
              <w:top w:w="80" w:type="dxa"/>
              <w:bottom w:w="80" w:type="dxa"/>
              <w:left w:w="90" w:type="dxa"/>
              <w:right w:w="90" w:type="dxa"/>
            </w:tcMar>
            <w:tcBorders>
              <w:bottom w:val="single" w:sz="4" w:color="D7DCE0"/>
            </w:tcBorders>
          </w:tcPr>
          <w:p>
            <w:pPr>
              <w:keepNext w:val="0"/>
              <w:spacing w:after="0" w:line="276" w:lineRule="auto"/>
            </w:pPr>
            <w:r>
              <w:rPr>
                <w:sz w:val="20"/>
              </w:rPr>
              <w:t>B19 销量下降 FR-06</w:t>
            </w:r>
          </w:p>
        </w:tc>
        <w:tc>
          <w:tcPr>
            <w:tcW w:type="dxa" w:w="4493"/>
            <w:vAlign w:val="center"/>
            <w:tcMar>
              <w:top w:w="80" w:type="dxa"/>
              <w:bottom w:w="80" w:type="dxa"/>
              <w:left w:w="90" w:type="dxa"/>
              <w:right w:w="90" w:type="dxa"/>
            </w:tcMar>
            <w:tcBorders>
              <w:bottom w:val="single" w:sz="4" w:color="D7DCE0"/>
            </w:tcBorders>
          </w:tcPr>
          <w:p>
            <w:pPr>
              <w:keepNext w:val="0"/>
              <w:spacing w:after="0" w:line="276" w:lineRule="auto"/>
            </w:pPr>
            <w:r>
              <w:rPr>
                <w:sz w:val="20"/>
              </w:rPr>
              <w:t>对象及快照 → 可售、流量、转化、价格、反馈等检查结果；F，0 次</w:t>
            </w:r>
          </w:p>
        </w:tc>
        <w:tc>
          <w:tcPr>
            <w:tcW w:type="dxa" w:w="3888"/>
            <w:vAlign w:val="center"/>
            <w:tcMar>
              <w:top w:w="80" w:type="dxa"/>
              <w:bottom w:w="80" w:type="dxa"/>
              <w:left w:w="90" w:type="dxa"/>
              <w:right w:w="90" w:type="dxa"/>
            </w:tcMar>
            <w:tcBorders>
              <w:bottom w:val="single" w:sz="4" w:color="D7DCE0"/>
            </w:tcBorders>
          </w:tcPr>
          <w:p>
            <w:pPr>
              <w:keepNext w:val="0"/>
              <w:spacing w:after="0" w:line="276" w:lineRule="auto"/>
            </w:pPr>
            <w:r>
              <w:rPr>
                <w:sz w:val="20"/>
              </w:rPr>
              <w:t>数据足够就查固定证据路径，缺一项不阻断其他可查项</w:t>
            </w:r>
          </w:p>
        </w:tc>
      </w:tr>
      <w:tr>
        <w:trPr>
          <w:cantSplit/>
        </w:trPr>
        <w:tc>
          <w:tcPr>
            <w:tcW w:type="dxa" w:w="1843"/>
            <w:vAlign w:val="center"/>
            <w:tcMar>
              <w:top w:w="80" w:type="dxa"/>
              <w:bottom w:w="80" w:type="dxa"/>
              <w:left w:w="90" w:type="dxa"/>
              <w:right w:w="90" w:type="dxa"/>
            </w:tcMar>
            <w:tcBorders>
              <w:bottom w:val="single" w:sz="4" w:color="D7DCE0"/>
            </w:tcBorders>
          </w:tcPr>
          <w:p>
            <w:pPr>
              <w:keepNext w:val="0"/>
              <w:spacing w:after="0" w:line="276" w:lineRule="auto"/>
            </w:pPr>
            <w:r>
              <w:rPr>
                <w:sz w:val="20"/>
              </w:rPr>
              <w:t>B20 转化下降 FR-06</w:t>
            </w:r>
          </w:p>
        </w:tc>
        <w:tc>
          <w:tcPr>
            <w:tcW w:type="dxa" w:w="4493"/>
            <w:vAlign w:val="center"/>
            <w:tcMar>
              <w:top w:w="80" w:type="dxa"/>
              <w:bottom w:w="80" w:type="dxa"/>
              <w:left w:w="90" w:type="dxa"/>
              <w:right w:w="90" w:type="dxa"/>
            </w:tcMar>
            <w:tcBorders>
              <w:bottom w:val="single" w:sz="4" w:color="D7DCE0"/>
            </w:tcBorders>
          </w:tcPr>
          <w:p>
            <w:pPr>
              <w:keepNext w:val="0"/>
              <w:spacing w:after="0" w:line="276" w:lineRule="auto"/>
            </w:pPr>
            <w:r>
              <w:rPr>
                <w:sz w:val="20"/>
              </w:rPr>
              <w:t>分子分母、变体结构及快照 → 转化检查结果；F，0 次</w:t>
            </w:r>
          </w:p>
        </w:tc>
        <w:tc>
          <w:tcPr>
            <w:tcW w:type="dxa" w:w="3888"/>
            <w:vAlign w:val="center"/>
            <w:tcMar>
              <w:top w:w="80" w:type="dxa"/>
              <w:bottom w:w="80" w:type="dxa"/>
              <w:left w:w="90" w:type="dxa"/>
              <w:right w:w="90" w:type="dxa"/>
            </w:tcMar>
            <w:tcBorders>
              <w:bottom w:val="single" w:sz="4" w:color="D7DCE0"/>
            </w:tcBorders>
          </w:tcPr>
          <w:p>
            <w:pPr>
              <w:keepNext w:val="0"/>
              <w:spacing w:after="0" w:line="276" w:lineRule="auto"/>
            </w:pPr>
            <w:r>
              <w:rPr>
                <w:sz w:val="20"/>
              </w:rPr>
              <w:t>先核实粒度与结构；销量下降本身不能证明转化下降</w:t>
            </w:r>
          </w:p>
        </w:tc>
      </w:tr>
      <w:tr>
        <w:trPr>
          <w:cantSplit/>
        </w:trPr>
        <w:tc>
          <w:tcPr>
            <w:tcW w:type="dxa" w:w="1843"/>
            <w:vAlign w:val="center"/>
            <w:tcMar>
              <w:top w:w="80" w:type="dxa"/>
              <w:bottom w:w="80" w:type="dxa"/>
              <w:left w:w="90" w:type="dxa"/>
              <w:right w:w="90" w:type="dxa"/>
            </w:tcMar>
            <w:tcBorders>
              <w:bottom w:val="single" w:sz="4" w:color="D7DCE0"/>
            </w:tcBorders>
          </w:tcPr>
          <w:p>
            <w:pPr>
              <w:keepNext w:val="0"/>
              <w:spacing w:after="0" w:line="276" w:lineRule="auto"/>
            </w:pPr>
            <w:r>
              <w:rPr>
                <w:sz w:val="20"/>
              </w:rPr>
              <w:t>B21 退款退货异常 FR-06</w:t>
            </w:r>
          </w:p>
        </w:tc>
        <w:tc>
          <w:tcPr>
            <w:tcW w:type="dxa" w:w="4493"/>
            <w:vAlign w:val="center"/>
            <w:tcMar>
              <w:top w:w="80" w:type="dxa"/>
              <w:bottom w:w="80" w:type="dxa"/>
              <w:left w:w="90" w:type="dxa"/>
              <w:right w:w="90" w:type="dxa"/>
            </w:tcMar>
            <w:tcBorders>
              <w:bottom w:val="single" w:sz="4" w:color="D7DCE0"/>
            </w:tcBorders>
          </w:tcPr>
          <w:p>
            <w:pPr>
              <w:keepNext w:val="0"/>
              <w:spacing w:after="0" w:line="276" w:lineRule="auto"/>
            </w:pPr>
            <w:r>
              <w:rPr>
                <w:sz w:val="20"/>
              </w:rPr>
              <w:t>发生期及成熟队列、原因、履约 → 分层检查结果；F，0 次</w:t>
            </w:r>
          </w:p>
        </w:tc>
        <w:tc>
          <w:tcPr>
            <w:tcW w:type="dxa" w:w="3888"/>
            <w:vAlign w:val="center"/>
            <w:tcMar>
              <w:top w:w="80" w:type="dxa"/>
              <w:bottom w:w="80" w:type="dxa"/>
              <w:left w:w="90" w:type="dxa"/>
              <w:right w:w="90" w:type="dxa"/>
            </w:tcMar>
            <w:tcBorders>
              <w:bottom w:val="single" w:sz="4" w:color="D7DCE0"/>
            </w:tcBorders>
          </w:tcPr>
          <w:p>
            <w:pPr>
              <w:keepNext w:val="0"/>
              <w:spacing w:after="0" w:line="276" w:lineRule="auto"/>
            </w:pPr>
            <w:r>
              <w:rPr>
                <w:sz w:val="20"/>
              </w:rPr>
              <w:t>先分口径再比较；无可靠批次键不做批次归因</w:t>
            </w:r>
          </w:p>
        </w:tc>
      </w:tr>
      <w:tr>
        <w:trPr>
          <w:cantSplit/>
        </w:trPr>
        <w:tc>
          <w:tcPr>
            <w:tcW w:type="dxa" w:w="1843"/>
            <w:vAlign w:val="center"/>
            <w:tcMar>
              <w:top w:w="80" w:type="dxa"/>
              <w:bottom w:w="80" w:type="dxa"/>
              <w:left w:w="90" w:type="dxa"/>
              <w:right w:w="90" w:type="dxa"/>
            </w:tcMar>
            <w:tcBorders>
              <w:bottom w:val="single" w:sz="4" w:color="D7DCE0"/>
            </w:tcBorders>
          </w:tcPr>
          <w:p>
            <w:pPr>
              <w:keepNext w:val="0"/>
              <w:spacing w:after="0" w:line="276" w:lineRule="auto"/>
            </w:pPr>
            <w:r>
              <w:rPr>
                <w:sz w:val="20"/>
              </w:rPr>
              <w:t>B22 评分评论异常 FR-06</w:t>
            </w:r>
          </w:p>
        </w:tc>
        <w:tc>
          <w:tcPr>
            <w:tcW w:type="dxa" w:w="4493"/>
            <w:vAlign w:val="center"/>
            <w:tcMar>
              <w:top w:w="80" w:type="dxa"/>
              <w:bottom w:w="80" w:type="dxa"/>
              <w:left w:w="90" w:type="dxa"/>
              <w:right w:w="90" w:type="dxa"/>
            </w:tcMar>
            <w:tcBorders>
              <w:bottom w:val="single" w:sz="4" w:color="D7DCE0"/>
            </w:tcBorders>
          </w:tcPr>
          <w:p>
            <w:pPr>
              <w:keepNext w:val="0"/>
              <w:spacing w:after="0" w:line="276" w:lineRule="auto"/>
            </w:pPr>
            <w:r>
              <w:rPr>
                <w:sz w:val="20"/>
              </w:rPr>
              <w:t>页面快照、采集覆盖、标签 → 评分和主题检查结果；F，0 次</w:t>
            </w:r>
          </w:p>
        </w:tc>
        <w:tc>
          <w:tcPr>
            <w:tcW w:type="dxa" w:w="3888"/>
            <w:vAlign w:val="center"/>
            <w:tcMar>
              <w:top w:w="80" w:type="dxa"/>
              <w:bottom w:w="80" w:type="dxa"/>
              <w:left w:w="90" w:type="dxa"/>
              <w:right w:w="90" w:type="dxa"/>
            </w:tcMar>
            <w:tcBorders>
              <w:bottom w:val="single" w:sz="4" w:color="D7DCE0"/>
            </w:tcBorders>
          </w:tcPr>
          <w:p>
            <w:pPr>
              <w:keepNext w:val="0"/>
              <w:spacing w:after="0" w:line="276" w:lineRule="auto"/>
            </w:pPr>
            <w:r>
              <w:rPr>
                <w:sz w:val="20"/>
              </w:rPr>
              <w:t>页面评分与采集均分分开；覆盖不足只提供线索</w:t>
            </w:r>
          </w:p>
        </w:tc>
      </w:tr>
      <w:tr>
        <w:trPr>
          <w:cantSplit/>
        </w:trPr>
        <w:tc>
          <w:tcPr>
            <w:tcW w:type="dxa" w:w="1843"/>
            <w:vAlign w:val="center"/>
            <w:tcMar>
              <w:top w:w="80" w:type="dxa"/>
              <w:bottom w:w="80" w:type="dxa"/>
              <w:left w:w="90" w:type="dxa"/>
              <w:right w:w="90" w:type="dxa"/>
            </w:tcMar>
            <w:tcBorders>
              <w:bottom w:val="single" w:sz="4" w:color="D7DCE0"/>
            </w:tcBorders>
          </w:tcPr>
          <w:p>
            <w:pPr>
              <w:keepNext w:val="0"/>
              <w:spacing w:after="0" w:line="276" w:lineRule="auto"/>
            </w:pPr>
            <w:r>
              <w:rPr>
                <w:sz w:val="20"/>
              </w:rPr>
              <w:t>B23 严重安全诊断 FR-06</w:t>
            </w:r>
          </w:p>
        </w:tc>
        <w:tc>
          <w:tcPr>
            <w:tcW w:type="dxa" w:w="4493"/>
            <w:vAlign w:val="center"/>
            <w:tcMar>
              <w:top w:w="80" w:type="dxa"/>
              <w:bottom w:w="80" w:type="dxa"/>
              <w:left w:w="90" w:type="dxa"/>
              <w:right w:w="90" w:type="dxa"/>
            </w:tcMar>
            <w:tcBorders>
              <w:bottom w:val="single" w:sz="4" w:color="D7DCE0"/>
            </w:tcBorders>
          </w:tcPr>
          <w:p>
            <w:pPr>
              <w:keepNext w:val="0"/>
              <w:spacing w:after="0" w:line="276" w:lineRule="auto"/>
            </w:pPr>
            <w:r>
              <w:rPr>
                <w:sz w:val="20"/>
              </w:rPr>
              <w:t>原文及对象 → 证据页、负责人、立即核查动作；F+H，0 次</w:t>
            </w:r>
          </w:p>
        </w:tc>
        <w:tc>
          <w:tcPr>
            <w:tcW w:type="dxa" w:w="3888"/>
            <w:vAlign w:val="center"/>
            <w:tcMar>
              <w:top w:w="80" w:type="dxa"/>
              <w:bottom w:w="80" w:type="dxa"/>
              <w:left w:w="90" w:type="dxa"/>
              <w:right w:w="90" w:type="dxa"/>
            </w:tcMar>
            <w:tcBorders>
              <w:bottom w:val="single" w:sz="4" w:color="D7DCE0"/>
            </w:tcBorders>
          </w:tcPr>
          <w:p>
            <w:pPr>
              <w:keepNext w:val="0"/>
              <w:spacing w:after="0" w:line="276" w:lineRule="auto"/>
            </w:pPr>
            <w:r>
              <w:rPr>
                <w:sz w:val="20"/>
              </w:rPr>
              <w:t>不等待统计显著；报告与普通运行隔离，不能自动联系买家或执行召回</w:t>
            </w:r>
          </w:p>
        </w:tc>
      </w:tr>
      <w:tr>
        <w:trPr>
          <w:cantSplit/>
        </w:trPr>
        <w:tc>
          <w:tcPr>
            <w:tcW w:type="dxa" w:w="1843"/>
            <w:vAlign w:val="center"/>
            <w:tcMar>
              <w:top w:w="80" w:type="dxa"/>
              <w:bottom w:w="80" w:type="dxa"/>
              <w:left w:w="90" w:type="dxa"/>
              <w:right w:w="90" w:type="dxa"/>
            </w:tcMar>
            <w:tcBorders>
              <w:bottom w:val="single" w:sz="4" w:color="D7DCE0"/>
            </w:tcBorders>
          </w:tcPr>
          <w:p>
            <w:pPr>
              <w:keepNext w:val="0"/>
              <w:spacing w:after="0" w:line="276" w:lineRule="auto"/>
            </w:pPr>
            <w:r>
              <w:rPr>
                <w:sz w:val="20"/>
              </w:rPr>
              <w:t>B24 候选生成和排序 FR-08</w:t>
            </w:r>
          </w:p>
        </w:tc>
        <w:tc>
          <w:tcPr>
            <w:tcW w:type="dxa" w:w="4493"/>
            <w:vAlign w:val="center"/>
            <w:tcMar>
              <w:top w:w="80" w:type="dxa"/>
              <w:bottom w:w="80" w:type="dxa"/>
              <w:left w:w="90" w:type="dxa"/>
              <w:right w:w="90" w:type="dxa"/>
            </w:tcMar>
            <w:tcBorders>
              <w:bottom w:val="single" w:sz="4" w:color="D7DCE0"/>
            </w:tcBorders>
          </w:tcPr>
          <w:p>
            <w:pPr>
              <w:keepNext w:val="0"/>
              <w:spacing w:after="0" w:line="276" w:lineRule="auto"/>
            </w:pPr>
            <w:r>
              <w:rPr>
                <w:sz w:val="20"/>
              </w:rPr>
              <w:t>检查结果、支持及反证 → 候选等级、顺序和缺口；D，0 次</w:t>
            </w:r>
          </w:p>
        </w:tc>
        <w:tc>
          <w:tcPr>
            <w:tcW w:type="dxa" w:w="3888"/>
            <w:vAlign w:val="center"/>
            <w:tcMar>
              <w:top w:w="80" w:type="dxa"/>
              <w:bottom w:w="80" w:type="dxa"/>
              <w:left w:w="90" w:type="dxa"/>
              <w:right w:w="90" w:type="dxa"/>
            </w:tcMar>
            <w:tcBorders>
              <w:bottom w:val="single" w:sz="4" w:color="D7DCE0"/>
            </w:tcBorders>
          </w:tcPr>
          <w:p>
            <w:pPr>
              <w:keepNext w:val="0"/>
              <w:spacing w:after="0" w:line="276" w:lineRule="auto"/>
            </w:pPr>
            <w:r>
              <w:rPr>
                <w:sz w:val="20"/>
              </w:rPr>
              <w:t>规则确定符合程度、独立来源和反证；允许并列、冲突和无候选</w:t>
            </w:r>
          </w:p>
        </w:tc>
      </w:tr>
      <w:tr>
        <w:trPr>
          <w:cantSplit/>
        </w:trPr>
        <w:tc>
          <w:tcPr>
            <w:tcW w:type="dxa" w:w="1843"/>
            <w:vAlign w:val="center"/>
            <w:tcMar>
              <w:top w:w="80" w:type="dxa"/>
              <w:bottom w:w="80" w:type="dxa"/>
              <w:left w:w="90" w:type="dxa"/>
              <w:right w:w="90" w:type="dxa"/>
            </w:tcMar>
            <w:tcBorders>
              <w:bottom w:val="single" w:sz="4" w:color="D7DCE0"/>
            </w:tcBorders>
          </w:tcPr>
          <w:p>
            <w:pPr>
              <w:keepNext w:val="0"/>
              <w:spacing w:after="0" w:line="276" w:lineRule="auto"/>
            </w:pPr>
            <w:r>
              <w:rPr>
                <w:sz w:val="20"/>
              </w:rPr>
              <w:t>B25 报告与动作草案 FR-08/09</w:t>
            </w:r>
          </w:p>
        </w:tc>
        <w:tc>
          <w:tcPr>
            <w:tcW w:type="dxa" w:w="4493"/>
            <w:vAlign w:val="center"/>
            <w:tcMar>
              <w:top w:w="80" w:type="dxa"/>
              <w:bottom w:w="80" w:type="dxa"/>
              <w:left w:w="90" w:type="dxa"/>
              <w:right w:w="90" w:type="dxa"/>
            </w:tcMar>
            <w:tcBorders>
              <w:bottom w:val="single" w:sz="4" w:color="D7DCE0"/>
            </w:tcBorders>
          </w:tcPr>
          <w:p>
            <w:pPr>
              <w:keepNext w:val="0"/>
              <w:spacing w:after="0" w:line="276" w:lineRule="auto"/>
            </w:pPr>
            <w:r>
              <w:rPr>
                <w:sz w:val="20"/>
              </w:rPr>
              <w:t>已固定事实、候选、动作模板 → 易读说明及草案；S，最多 1 次</w:t>
            </w:r>
          </w:p>
        </w:tc>
        <w:tc>
          <w:tcPr>
            <w:tcW w:type="dxa" w:w="3888"/>
            <w:vAlign w:val="center"/>
            <w:tcMar>
              <w:top w:w="80" w:type="dxa"/>
              <w:bottom w:w="80" w:type="dxa"/>
              <w:left w:w="90" w:type="dxa"/>
              <w:right w:w="90" w:type="dxa"/>
            </w:tcMar>
            <w:tcBorders>
              <w:bottom w:val="single" w:sz="4" w:color="D7DCE0"/>
            </w:tcBorders>
          </w:tcPr>
          <w:p>
            <w:pPr>
              <w:keepNext w:val="0"/>
              <w:spacing w:after="0" w:line="276" w:lineRule="auto"/>
            </w:pPr>
            <w:r>
              <w:rPr>
                <w:sz w:val="20"/>
              </w:rPr>
              <w:t>一次解释多个相关结果；模型不改数值、排序、负责人或自动生效动作</w:t>
            </w:r>
          </w:p>
        </w:tc>
      </w:tr>
      <w:tr>
        <w:trPr>
          <w:cantSplit/>
        </w:trPr>
        <w:tc>
          <w:tcPr>
            <w:tcW w:type="dxa" w:w="1843"/>
            <w:vAlign w:val="center"/>
            <w:tcMar>
              <w:top w:w="80" w:type="dxa"/>
              <w:bottom w:w="80" w:type="dxa"/>
              <w:left w:w="90" w:type="dxa"/>
              <w:right w:w="90" w:type="dxa"/>
            </w:tcMar>
            <w:tcBorders>
              <w:bottom w:val="single" w:sz="4" w:color="D7DCE0"/>
            </w:tcBorders>
          </w:tcPr>
          <w:p>
            <w:pPr>
              <w:keepNext w:val="0"/>
              <w:spacing w:after="0" w:line="276" w:lineRule="auto"/>
            </w:pPr>
            <w:r>
              <w:rPr>
                <w:sz w:val="20"/>
              </w:rPr>
              <w:t>B26 报告校验与发布 FR-08</w:t>
            </w:r>
          </w:p>
        </w:tc>
        <w:tc>
          <w:tcPr>
            <w:tcW w:type="dxa" w:w="4493"/>
            <w:vAlign w:val="center"/>
            <w:tcMar>
              <w:top w:w="80" w:type="dxa"/>
              <w:bottom w:w="80" w:type="dxa"/>
              <w:left w:w="90" w:type="dxa"/>
              <w:right w:w="90" w:type="dxa"/>
            </w:tcMar>
            <w:tcBorders>
              <w:bottom w:val="single" w:sz="4" w:color="D7DCE0"/>
            </w:tcBorders>
          </w:tcPr>
          <w:p>
            <w:pPr>
              <w:keepNext w:val="0"/>
              <w:spacing w:after="0" w:line="276" w:lineRule="auto"/>
            </w:pPr>
            <w:r>
              <w:rPr>
                <w:sz w:val="20"/>
              </w:rPr>
              <w:t>模型说明或模板、引用 → 可追溯版本；F，0 次</w:t>
            </w:r>
          </w:p>
        </w:tc>
        <w:tc>
          <w:tcPr>
            <w:tcW w:type="dxa" w:w="3888"/>
            <w:vAlign w:val="center"/>
            <w:tcMar>
              <w:top w:w="80" w:type="dxa"/>
              <w:bottom w:w="80" w:type="dxa"/>
              <w:left w:w="90" w:type="dxa"/>
              <w:right w:w="90" w:type="dxa"/>
            </w:tcMar>
            <w:tcBorders>
              <w:bottom w:val="single" w:sz="4" w:color="D7DCE0"/>
            </w:tcBorders>
          </w:tcPr>
          <w:p>
            <w:pPr>
              <w:keepNext w:val="0"/>
              <w:spacing w:after="0" w:line="276" w:lineRule="auto"/>
            </w:pPr>
            <w:r>
              <w:rPr>
                <w:sz w:val="20"/>
              </w:rPr>
              <w:t>检查引用、数字和候选 ID；越界内容丢弃并模板发布，不循环自我评审直到通过</w:t>
            </w:r>
          </w:p>
        </w:tc>
      </w:tr>
      <w:tr>
        <w:trPr>
          <w:cantSplit/>
        </w:trPr>
        <w:tc>
          <w:tcPr>
            <w:tcW w:type="dxa" w:w="1843"/>
            <w:vAlign w:val="center"/>
            <w:tcMar>
              <w:top w:w="80" w:type="dxa"/>
              <w:bottom w:w="80" w:type="dxa"/>
              <w:left w:w="90" w:type="dxa"/>
              <w:right w:w="90" w:type="dxa"/>
            </w:tcMar>
            <w:tcBorders>
              <w:bottom w:val="single" w:sz="4" w:color="D7DCE0"/>
            </w:tcBorders>
          </w:tcPr>
          <w:p>
            <w:pPr>
              <w:keepNext w:val="0"/>
              <w:spacing w:after="0" w:line="276" w:lineRule="auto"/>
            </w:pPr>
            <w:r>
              <w:rPr>
                <w:sz w:val="20"/>
              </w:rPr>
              <w:t>B27 矛盾和证据不足 FR-08</w:t>
            </w:r>
          </w:p>
        </w:tc>
        <w:tc>
          <w:tcPr>
            <w:tcW w:type="dxa" w:w="4493"/>
            <w:vAlign w:val="center"/>
            <w:tcMar>
              <w:top w:w="80" w:type="dxa"/>
              <w:bottom w:w="80" w:type="dxa"/>
              <w:left w:w="90" w:type="dxa"/>
              <w:right w:w="90" w:type="dxa"/>
            </w:tcMar>
            <w:tcBorders>
              <w:bottom w:val="single" w:sz="4" w:color="D7DCE0"/>
            </w:tcBorders>
          </w:tcPr>
          <w:p>
            <w:pPr>
              <w:keepNext w:val="0"/>
              <w:spacing w:after="0" w:line="276" w:lineRule="auto"/>
            </w:pPr>
            <w:r>
              <w:rPr>
                <w:sz w:val="20"/>
              </w:rPr>
              <w:t>冲突来源、不可检查项 → 并列解释及补数任务；D+H，0 次</w:t>
            </w:r>
          </w:p>
        </w:tc>
        <w:tc>
          <w:tcPr>
            <w:tcW w:type="dxa" w:w="3888"/>
            <w:vAlign w:val="center"/>
            <w:tcMar>
              <w:top w:w="80" w:type="dxa"/>
              <w:bottom w:w="80" w:type="dxa"/>
              <w:left w:w="90" w:type="dxa"/>
              <w:right w:w="90" w:type="dxa"/>
            </w:tcMar>
            <w:tcBorders>
              <w:bottom w:val="single" w:sz="4" w:color="D7DCE0"/>
            </w:tcBorders>
          </w:tcPr>
          <w:p>
            <w:pPr>
              <w:keepNext w:val="0"/>
              <w:spacing w:after="0" w:line="276" w:lineRule="auto"/>
            </w:pPr>
            <w:r>
              <w:rPr>
                <w:sz w:val="20"/>
              </w:rPr>
              <w:t>按来源优先级处理可解冲突；无法判定则显式保留，不靠追加模型调用制造确定答案</w:t>
            </w:r>
          </w:p>
        </w:tc>
      </w:tr>
      <w:tr>
        <w:trPr>
          <w:cantSplit/>
        </w:trPr>
        <w:tc>
          <w:tcPr>
            <w:tcW w:type="dxa" w:w="1843"/>
            <w:vAlign w:val="center"/>
            <w:tcMar>
              <w:top w:w="80" w:type="dxa"/>
              <w:bottom w:w="80" w:type="dxa"/>
              <w:left w:w="90" w:type="dxa"/>
              <w:right w:w="90" w:type="dxa"/>
            </w:tcMar>
            <w:tcBorders>
              <w:bottom w:val="single" w:sz="4" w:color="D7DCE0"/>
            </w:tcBorders>
          </w:tcPr>
          <w:p>
            <w:pPr>
              <w:keepNext w:val="0"/>
              <w:spacing w:after="0" w:line="276" w:lineRule="auto"/>
            </w:pPr>
            <w:r>
              <w:rPr>
                <w:sz w:val="20"/>
              </w:rPr>
              <w:t>B28 数据更新后复算 FR-08/09</w:t>
            </w:r>
          </w:p>
        </w:tc>
        <w:tc>
          <w:tcPr>
            <w:tcW w:type="dxa" w:w="4493"/>
            <w:vAlign w:val="center"/>
            <w:tcMar>
              <w:top w:w="80" w:type="dxa"/>
              <w:bottom w:w="80" w:type="dxa"/>
              <w:left w:w="90" w:type="dxa"/>
              <w:right w:w="90" w:type="dxa"/>
            </w:tcMar>
            <w:tcBorders>
              <w:bottom w:val="single" w:sz="4" w:color="D7DCE0"/>
            </w:tcBorders>
          </w:tcPr>
          <w:p>
            <w:pPr>
              <w:keepNext w:val="0"/>
              <w:spacing w:after="0" w:line="276" w:lineRule="auto"/>
            </w:pPr>
            <w:r>
              <w:rPr>
                <w:sz w:val="20"/>
              </w:rPr>
              <w:t>新来源或规则版本、依赖关系 → 新运行及差异；F，0 次基础调用</w:t>
            </w:r>
          </w:p>
        </w:tc>
        <w:tc>
          <w:tcPr>
            <w:tcW w:type="dxa" w:w="3888"/>
            <w:vAlign w:val="center"/>
            <w:tcMar>
              <w:top w:w="80" w:type="dxa"/>
              <w:bottom w:w="80" w:type="dxa"/>
              <w:left w:w="90" w:type="dxa"/>
              <w:right w:w="90" w:type="dxa"/>
            </w:tcMar>
            <w:tcBorders>
              <w:bottom w:val="single" w:sz="4" w:color="D7DCE0"/>
            </w:tcBorders>
          </w:tcPr>
          <w:p>
            <w:pPr>
              <w:keepNext w:val="0"/>
              <w:spacing w:after="0" w:line="276" w:lineRule="auto"/>
            </w:pPr>
            <w:r>
              <w:rPr>
                <w:sz w:val="20"/>
              </w:rPr>
              <w:t>标签未变则复用；如重新解释报告按 B25 另计，历史结论保留</w:t>
            </w:r>
          </w:p>
        </w:tc>
      </w:tr>
    </w:tbl>
    <w:p>
      <w:pPr>
        <w:spacing w:after="20" w:before="0" w:line="240" w:lineRule="auto"/>
      </w:pPr>
      <w:r>
        <w:rPr>
          <w:sz w:val="4"/>
        </w:rPr>
      </w:r>
    </w:p>
    <w:p>
      <w:pPr>
        <w:keepNext/>
      </w:pPr>
      <w:r>
        <w:rPr>
          <w:b/>
        </w:rPr>
        <w:t>五条调查路径的依赖与停止条件</w:t>
      </w:r>
    </w:p>
    <w:p>
      <w:r>
        <w:t>销量路径先确定窗口、覆盖和对象，随后可并行查可售/库存/购物车、流量、转化、价格促销、运营变更和反馈。转化需有效分母；无流量数据时记录不可检查，不从差评推出销量原因。检查的展示顺序表达排查优先级，不表示前项通过才能检查后项。</w:t>
      </w:r>
    </w:p>
    <w:p>
      <w:r>
        <w:t>转化路径先验证会话与订单件数粒度，再检查子体占比变化；按同一对象及窗口比较可售、购物车、价格促销、Listing 变更与反馈。不能把 SKU 层销量复制成多份 ASIN 会话。结构变化与子体真实变化分列。</w:t>
      </w:r>
    </w:p>
    <w:p>
      <w:r>
        <w:t>退款退货路径先分发生期异常和成熟订单队列，再按原因、子体及履约分层；仅有可靠关联时查处置、工单、批次和运营变更。成熟不足、关联不足分别返回缺口，不能筛掉未关联项后宣称质量恢复。</w:t>
      </w:r>
    </w:p>
    <w:p>
      <w:r>
        <w:t>评分评论路径先核实页面快照时间、采集覆盖及变体映射，再计算主题与极性趋势，并交叉检查退款和工单。不存在对应来源时注明未检查；页面下降、采集均分下降和投诉主题增长是不同事实。</w:t>
      </w:r>
    </w:p>
    <w:p>
      <w:r>
        <w:t>安全路径直接保存原文、定位对象、检查否定与假设语境并交人工核查；规则发现可疑线索即可进入，不能让模型判“无风险”自动关闭。以上路径在必查项均为完成、不可检查或不适用时停止；模板或单次说明后发布，不因根因尚不明确而不断调用工具。</w:t>
      </w:r>
    </w:p>
    <w:p>
      <w:pPr>
        <w:keepNext/>
      </w:pPr>
      <w:r>
        <w:rPr>
          <w:b/>
        </w:rPr>
        <w:t>任务矩阵四 查询与人工处理</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1843"/>
        <w:gridCol w:w="4493"/>
        <w:gridCol w:w="3888"/>
      </w:tblGrid>
      <w:tr>
        <w:trPr>
          <w:cantSplit/>
          <w:tblHeader/>
        </w:trPr>
        <w:tc>
          <w:tcPr>
            <w:tcW w:type="dxa" w:w="1843"/>
            <w:vAlign w:val="center"/>
            <w:tcMar>
              <w:top w:w="80" w:type="dxa"/>
              <w:bottom w:w="80" w:type="dxa"/>
              <w:left w:w="90" w:type="dxa"/>
              <w:right w:w="90" w:type="dxa"/>
            </w:tcMar>
            <w:tcBorders>
              <w:bottom w:val="single" w:sz="4" w:color="D7DCE0"/>
            </w:tcBorders>
            <w:shd w:fill="EEF1F3"/>
          </w:tcPr>
          <w:p>
            <w:pPr>
              <w:keepNext/>
              <w:spacing w:after="0" w:line="276" w:lineRule="auto"/>
            </w:pPr>
            <w:r>
              <w:rPr>
                <w:b/>
                <w:sz w:val="20"/>
              </w:rPr>
              <w:t>业务单元与需求</w:t>
            </w:r>
          </w:p>
        </w:tc>
        <w:tc>
          <w:tcPr>
            <w:tcW w:type="dxa" w:w="4493"/>
            <w:vAlign w:val="center"/>
            <w:tcMar>
              <w:top w:w="80" w:type="dxa"/>
              <w:bottom w:w="80" w:type="dxa"/>
              <w:left w:w="90" w:type="dxa"/>
              <w:right w:w="90" w:type="dxa"/>
            </w:tcMar>
            <w:tcBorders>
              <w:bottom w:val="single" w:sz="4" w:color="D7DCE0"/>
            </w:tcBorders>
            <w:shd w:fill="EEF1F3"/>
          </w:tcPr>
          <w:p>
            <w:pPr>
              <w:keepNext/>
              <w:spacing w:after="0" w:line="276" w:lineRule="auto"/>
            </w:pPr>
            <w:r>
              <w:rPr>
                <w:b/>
                <w:sz w:val="20"/>
              </w:rPr>
              <w:t>输入与输出及执行方式</w:t>
            </w:r>
          </w:p>
        </w:tc>
        <w:tc>
          <w:tcPr>
            <w:tcW w:type="dxa" w:w="3888"/>
            <w:vAlign w:val="center"/>
            <w:tcMar>
              <w:top w:w="80" w:type="dxa"/>
              <w:bottom w:w="80" w:type="dxa"/>
              <w:left w:w="90" w:type="dxa"/>
              <w:right w:w="90" w:type="dxa"/>
            </w:tcMar>
            <w:tcBorders>
              <w:bottom w:val="single" w:sz="4" w:color="D7DCE0"/>
            </w:tcBorders>
            <w:shd w:fill="EEF1F3"/>
          </w:tcPr>
          <w:p>
            <w:pPr>
              <w:keepNext/>
              <w:spacing w:after="0" w:line="276" w:lineRule="auto"/>
            </w:pPr>
            <w:r>
              <w:rPr>
                <w:b/>
                <w:sz w:val="20"/>
              </w:rPr>
              <w:t>选择理由与异常边界</w:t>
            </w:r>
          </w:p>
        </w:tc>
      </w:tr>
      <w:tr>
        <w:trPr>
          <w:cantSplit/>
        </w:trPr>
        <w:tc>
          <w:tcPr>
            <w:tcW w:type="dxa" w:w="1843"/>
            <w:vAlign w:val="center"/>
            <w:tcMar>
              <w:top w:w="80" w:type="dxa"/>
              <w:bottom w:w="80" w:type="dxa"/>
              <w:left w:w="90" w:type="dxa"/>
              <w:right w:w="90" w:type="dxa"/>
            </w:tcMar>
            <w:tcBorders>
              <w:bottom w:val="single" w:sz="4" w:color="D7DCE0"/>
            </w:tcBorders>
          </w:tcPr>
          <w:p>
            <w:pPr>
              <w:keepNext w:val="0"/>
              <w:spacing w:after="0" w:line="276" w:lineRule="auto"/>
            </w:pPr>
            <w:r>
              <w:rPr>
                <w:sz w:val="20"/>
              </w:rPr>
              <w:t>B29 自然语言意图与槽位 FR-10</w:t>
            </w:r>
          </w:p>
        </w:tc>
        <w:tc>
          <w:tcPr>
            <w:tcW w:type="dxa" w:w="4493"/>
            <w:vAlign w:val="center"/>
            <w:tcMar>
              <w:top w:w="80" w:type="dxa"/>
              <w:bottom w:w="80" w:type="dxa"/>
              <w:left w:w="90" w:type="dxa"/>
              <w:right w:w="90" w:type="dxa"/>
            </w:tcMar>
            <w:tcBorders>
              <w:bottom w:val="single" w:sz="4" w:color="D7DCE0"/>
            </w:tcBorders>
          </w:tcPr>
          <w:p>
            <w:pPr>
              <w:keepNext w:val="0"/>
              <w:spacing w:after="0" w:line="276" w:lineRule="auto"/>
            </w:pPr>
            <w:r>
              <w:rPr>
                <w:sz w:val="20"/>
              </w:rPr>
              <w:t>问句、可见上下文、允许范围 → 类型、对象、期间、筛选；S，1 次</w:t>
            </w:r>
          </w:p>
        </w:tc>
        <w:tc>
          <w:tcPr>
            <w:tcW w:type="dxa" w:w="3888"/>
            <w:vAlign w:val="center"/>
            <w:tcMar>
              <w:top w:w="80" w:type="dxa"/>
              <w:bottom w:w="80" w:type="dxa"/>
              <w:left w:w="90" w:type="dxa"/>
              <w:right w:w="90" w:type="dxa"/>
            </w:tcMar>
            <w:tcBorders>
              <w:bottom w:val="single" w:sz="4" w:color="D7DCE0"/>
            </w:tcBorders>
          </w:tcPr>
          <w:p>
            <w:pPr>
              <w:keepNext w:val="0"/>
              <w:spacing w:after="0" w:line="276" w:lineRule="auto"/>
            </w:pPr>
            <w:r>
              <w:rPr>
                <w:sz w:val="20"/>
              </w:rPr>
              <w:t>先查授权上下文、映射及异常摘要；唯一定位自动继续，多候选再澄清，不用模型置信度替代确认</w:t>
            </w:r>
          </w:p>
        </w:tc>
      </w:tr>
      <w:tr>
        <w:trPr>
          <w:cantSplit/>
        </w:trPr>
        <w:tc>
          <w:tcPr>
            <w:tcW w:type="dxa" w:w="1843"/>
            <w:vAlign w:val="center"/>
            <w:tcMar>
              <w:top w:w="80" w:type="dxa"/>
              <w:bottom w:w="80" w:type="dxa"/>
              <w:left w:w="90" w:type="dxa"/>
              <w:right w:w="90" w:type="dxa"/>
            </w:tcMar>
            <w:tcBorders>
              <w:bottom w:val="single" w:sz="4" w:color="D7DCE0"/>
            </w:tcBorders>
          </w:tcPr>
          <w:p>
            <w:pPr>
              <w:keepNext w:val="0"/>
              <w:spacing w:after="0" w:line="276" w:lineRule="auto"/>
            </w:pPr>
            <w:r>
              <w:rPr>
                <w:sz w:val="20"/>
              </w:rPr>
              <w:t>B30 指标与期间比较 FR-10</w:t>
            </w:r>
          </w:p>
        </w:tc>
        <w:tc>
          <w:tcPr>
            <w:tcW w:type="dxa" w:w="4493"/>
            <w:vAlign w:val="center"/>
            <w:tcMar>
              <w:top w:w="80" w:type="dxa"/>
              <w:bottom w:w="80" w:type="dxa"/>
              <w:left w:w="90" w:type="dxa"/>
              <w:right w:w="90" w:type="dxa"/>
            </w:tcMar>
            <w:tcBorders>
              <w:bottom w:val="single" w:sz="4" w:color="D7DCE0"/>
            </w:tcBorders>
          </w:tcPr>
          <w:p>
            <w:pPr>
              <w:keepNext w:val="0"/>
              <w:spacing w:after="0" w:line="276" w:lineRule="auto"/>
            </w:pPr>
            <w:r>
              <w:rPr>
                <w:sz w:val="20"/>
              </w:rPr>
              <w:t>已验证槽位 → 参数化查询及表格；D，0 次</w:t>
            </w:r>
          </w:p>
        </w:tc>
        <w:tc>
          <w:tcPr>
            <w:tcW w:type="dxa" w:w="3888"/>
            <w:vAlign w:val="center"/>
            <w:tcMar>
              <w:top w:w="80" w:type="dxa"/>
              <w:bottom w:w="80" w:type="dxa"/>
              <w:left w:w="90" w:type="dxa"/>
              <w:right w:w="90" w:type="dxa"/>
            </w:tcMar>
            <w:tcBorders>
              <w:bottom w:val="single" w:sz="4" w:color="D7DCE0"/>
            </w:tcBorders>
          </w:tcPr>
          <w:p>
            <w:pPr>
              <w:keepNext w:val="0"/>
              <w:spacing w:after="0" w:line="276" w:lineRule="auto"/>
            </w:pPr>
            <w:r>
              <w:rPr>
                <w:sz w:val="20"/>
              </w:rPr>
              <w:t>固定查询模板；通常直接展示，避免查询完再让模型改写数字</w:t>
            </w:r>
          </w:p>
        </w:tc>
      </w:tr>
      <w:tr>
        <w:trPr>
          <w:cantSplit/>
        </w:trPr>
        <w:tc>
          <w:tcPr>
            <w:tcW w:type="dxa" w:w="1843"/>
            <w:vAlign w:val="center"/>
            <w:tcMar>
              <w:top w:w="80" w:type="dxa"/>
              <w:bottom w:w="80" w:type="dxa"/>
              <w:left w:w="90" w:type="dxa"/>
              <w:right w:w="90" w:type="dxa"/>
            </w:tcMar>
            <w:tcBorders>
              <w:bottom w:val="single" w:sz="4" w:color="D7DCE0"/>
            </w:tcBorders>
          </w:tcPr>
          <w:p>
            <w:pPr>
              <w:keepNext w:val="0"/>
              <w:spacing w:after="0" w:line="276" w:lineRule="auto"/>
            </w:pPr>
            <w:r>
              <w:rPr>
                <w:sz w:val="20"/>
              </w:rPr>
              <w:t>B31 依据缺口与动作查询 FR-10</w:t>
            </w:r>
          </w:p>
        </w:tc>
        <w:tc>
          <w:tcPr>
            <w:tcW w:type="dxa" w:w="4493"/>
            <w:vAlign w:val="center"/>
            <w:tcMar>
              <w:top w:w="80" w:type="dxa"/>
              <w:bottom w:w="80" w:type="dxa"/>
              <w:left w:w="90" w:type="dxa"/>
              <w:right w:w="90" w:type="dxa"/>
            </w:tcMar>
            <w:tcBorders>
              <w:bottom w:val="single" w:sz="4" w:color="D7DCE0"/>
            </w:tcBorders>
          </w:tcPr>
          <w:p>
            <w:pPr>
              <w:keepNext w:val="0"/>
              <w:spacing w:after="0" w:line="276" w:lineRule="auto"/>
            </w:pPr>
            <w:r>
              <w:rPr>
                <w:sz w:val="20"/>
              </w:rPr>
              <w:t>已验证槽位、报告或动作 ID → 原证据、缺口、状态；D，0 次</w:t>
            </w:r>
          </w:p>
        </w:tc>
        <w:tc>
          <w:tcPr>
            <w:tcW w:type="dxa" w:w="3888"/>
            <w:vAlign w:val="center"/>
            <w:tcMar>
              <w:top w:w="80" w:type="dxa"/>
              <w:bottom w:w="80" w:type="dxa"/>
              <w:left w:w="90" w:type="dxa"/>
              <w:right w:w="90" w:type="dxa"/>
            </w:tcMar>
            <w:tcBorders>
              <w:bottom w:val="single" w:sz="4" w:color="D7DCE0"/>
            </w:tcBorders>
          </w:tcPr>
          <w:p>
            <w:pPr>
              <w:keepNext w:val="0"/>
              <w:spacing w:after="0" w:line="276" w:lineRule="auto"/>
            </w:pPr>
            <w:r>
              <w:rPr>
                <w:sz w:val="20"/>
              </w:rPr>
              <w:t>读取权威记录即可回答，不重新诊断或执行动作</w:t>
            </w:r>
          </w:p>
        </w:tc>
      </w:tr>
      <w:tr>
        <w:trPr>
          <w:cantSplit/>
        </w:trPr>
        <w:tc>
          <w:tcPr>
            <w:tcW w:type="dxa" w:w="1843"/>
            <w:vAlign w:val="center"/>
            <w:tcMar>
              <w:top w:w="80" w:type="dxa"/>
              <w:bottom w:w="80" w:type="dxa"/>
              <w:left w:w="90" w:type="dxa"/>
              <w:right w:w="90" w:type="dxa"/>
            </w:tcMar>
            <w:tcBorders>
              <w:bottom w:val="single" w:sz="4" w:color="D7DCE0"/>
            </w:tcBorders>
          </w:tcPr>
          <w:p>
            <w:pPr>
              <w:keepNext w:val="0"/>
              <w:spacing w:after="0" w:line="276" w:lineRule="auto"/>
            </w:pPr>
            <w:r>
              <w:rPr>
                <w:sz w:val="20"/>
              </w:rPr>
              <w:t>B32 已支持的组合问句 FR-10</w:t>
            </w:r>
          </w:p>
        </w:tc>
        <w:tc>
          <w:tcPr>
            <w:tcW w:type="dxa" w:w="4493"/>
            <w:vAlign w:val="center"/>
            <w:tcMar>
              <w:top w:w="80" w:type="dxa"/>
              <w:bottom w:w="80" w:type="dxa"/>
              <w:left w:w="90" w:type="dxa"/>
              <w:right w:w="90" w:type="dxa"/>
            </w:tcMar>
            <w:tcBorders>
              <w:bottom w:val="single" w:sz="4" w:color="D7DCE0"/>
            </w:tcBorders>
          </w:tcPr>
          <w:p>
            <w:pPr>
              <w:keepNext w:val="0"/>
              <w:spacing w:after="0" w:line="276" w:lineRule="auto"/>
            </w:pPr>
            <w:r>
              <w:rPr>
                <w:sz w:val="20"/>
              </w:rPr>
              <w:t>同一问题中的多个受支持意图 → 多个槽位任务及合并视图；F，解析 1 次</w:t>
            </w:r>
          </w:p>
        </w:tc>
        <w:tc>
          <w:tcPr>
            <w:tcW w:type="dxa" w:w="3888"/>
            <w:vAlign w:val="center"/>
            <w:tcMar>
              <w:top w:w="80" w:type="dxa"/>
              <w:bottom w:w="80" w:type="dxa"/>
              <w:left w:w="90" w:type="dxa"/>
              <w:right w:w="90" w:type="dxa"/>
            </w:tcMar>
            <w:tcBorders>
              <w:bottom w:val="single" w:sz="4" w:color="D7DCE0"/>
            </w:tcBorders>
          </w:tcPr>
          <w:p>
            <w:pPr>
              <w:keepNext w:val="0"/>
              <w:spacing w:after="0" w:line="276" w:lineRule="auto"/>
            </w:pPr>
            <w:r>
              <w:rPr>
                <w:sz w:val="20"/>
              </w:rPr>
              <w:t>代码生成预定依赖并执行；必要时统一说明再加 1 次，总计最多 2 次，不任意生成工具图</w:t>
            </w:r>
          </w:p>
        </w:tc>
      </w:tr>
      <w:tr>
        <w:trPr>
          <w:cantSplit/>
        </w:trPr>
        <w:tc>
          <w:tcPr>
            <w:tcW w:type="dxa" w:w="1843"/>
            <w:vAlign w:val="center"/>
            <w:tcMar>
              <w:top w:w="80" w:type="dxa"/>
              <w:bottom w:w="80" w:type="dxa"/>
              <w:left w:w="90" w:type="dxa"/>
              <w:right w:w="90" w:type="dxa"/>
            </w:tcMar>
            <w:tcBorders>
              <w:bottom w:val="single" w:sz="4" w:color="D7DCE0"/>
            </w:tcBorders>
          </w:tcPr>
          <w:p>
            <w:pPr>
              <w:keepNext w:val="0"/>
              <w:spacing w:after="0" w:line="276" w:lineRule="auto"/>
            </w:pPr>
            <w:r>
              <w:rPr>
                <w:sz w:val="20"/>
              </w:rPr>
              <w:t>B33 范围外开放问题 FR-10</w:t>
            </w:r>
          </w:p>
        </w:tc>
        <w:tc>
          <w:tcPr>
            <w:tcW w:type="dxa" w:w="4493"/>
            <w:vAlign w:val="center"/>
            <w:tcMar>
              <w:top w:w="80" w:type="dxa"/>
              <w:bottom w:w="80" w:type="dxa"/>
              <w:left w:w="90" w:type="dxa"/>
              <w:right w:w="90" w:type="dxa"/>
            </w:tcMar>
            <w:tcBorders>
              <w:bottom w:val="single" w:sz="4" w:color="D7DCE0"/>
            </w:tcBorders>
          </w:tcPr>
          <w:p>
            <w:pPr>
              <w:keepNext w:val="0"/>
              <w:spacing w:after="0" w:line="276" w:lineRule="auto"/>
            </w:pPr>
            <w:r>
              <w:rPr>
                <w:sz w:val="20"/>
              </w:rPr>
              <w:t>任意研究、投放或未知指标请求 → 能力边界和可选受支持查询；D，新增 0 次</w:t>
            </w:r>
          </w:p>
        </w:tc>
        <w:tc>
          <w:tcPr>
            <w:tcW w:type="dxa" w:w="3888"/>
            <w:vAlign w:val="center"/>
            <w:tcMar>
              <w:top w:w="80" w:type="dxa"/>
              <w:bottom w:w="80" w:type="dxa"/>
              <w:left w:w="90" w:type="dxa"/>
              <w:right w:w="90" w:type="dxa"/>
            </w:tcMar>
            <w:tcBorders>
              <w:bottom w:val="single" w:sz="4" w:color="D7DCE0"/>
            </w:tcBorders>
          </w:tcPr>
          <w:p>
            <w:pPr>
              <w:keepNext w:val="0"/>
              <w:spacing w:after="0" w:line="276" w:lineRule="auto"/>
            </w:pPr>
            <w:r>
              <w:rPr>
                <w:sz w:val="20"/>
              </w:rPr>
              <w:t>排除广告优化等范围外业务；范围内原因调查转 B41，不因表述模糊直接拒绝</w:t>
            </w:r>
          </w:p>
        </w:tc>
      </w:tr>
      <w:tr>
        <w:trPr>
          <w:cantSplit/>
        </w:trPr>
        <w:tc>
          <w:tcPr>
            <w:tcW w:type="dxa" w:w="1843"/>
            <w:vAlign w:val="center"/>
            <w:tcMar>
              <w:top w:w="80" w:type="dxa"/>
              <w:bottom w:w="80" w:type="dxa"/>
              <w:left w:w="90" w:type="dxa"/>
              <w:right w:w="90" w:type="dxa"/>
            </w:tcMar>
            <w:tcBorders>
              <w:bottom w:val="single" w:sz="4" w:color="D7DCE0"/>
            </w:tcBorders>
          </w:tcPr>
          <w:p>
            <w:pPr>
              <w:keepNext w:val="0"/>
              <w:spacing w:after="0" w:line="276" w:lineRule="auto"/>
            </w:pPr>
            <w:r>
              <w:rPr>
                <w:sz w:val="20"/>
              </w:rPr>
              <w:t>B34 采纳驳回与指派 FR-09</w:t>
            </w:r>
          </w:p>
        </w:tc>
        <w:tc>
          <w:tcPr>
            <w:tcW w:type="dxa" w:w="4493"/>
            <w:vAlign w:val="center"/>
            <w:tcMar>
              <w:top w:w="80" w:type="dxa"/>
              <w:bottom w:w="80" w:type="dxa"/>
              <w:left w:w="90" w:type="dxa"/>
              <w:right w:w="90" w:type="dxa"/>
            </w:tcMar>
            <w:tcBorders>
              <w:bottom w:val="single" w:sz="4" w:color="D7DCE0"/>
            </w:tcBorders>
          </w:tcPr>
          <w:p>
            <w:pPr>
              <w:keepNext w:val="0"/>
              <w:spacing w:after="0" w:line="276" w:lineRule="auto"/>
            </w:pPr>
            <w:r>
              <w:rPr>
                <w:sz w:val="20"/>
              </w:rPr>
              <w:t>用户选择、实体版本 → 审计及业务状态；D+H，0 次</w:t>
            </w:r>
          </w:p>
        </w:tc>
        <w:tc>
          <w:tcPr>
            <w:tcW w:type="dxa" w:w="3888"/>
            <w:vAlign w:val="center"/>
            <w:tcMar>
              <w:top w:w="80" w:type="dxa"/>
              <w:bottom w:w="80" w:type="dxa"/>
              <w:left w:w="90" w:type="dxa"/>
              <w:right w:w="90" w:type="dxa"/>
            </w:tcMar>
            <w:tcBorders>
              <w:bottom w:val="single" w:sz="4" w:color="D7DCE0"/>
            </w:tcBorders>
          </w:tcPr>
          <w:p>
            <w:pPr>
              <w:keepNext w:val="0"/>
              <w:spacing w:after="0" w:line="276" w:lineRule="auto"/>
            </w:pPr>
            <w:r>
              <w:rPr>
                <w:sz w:val="20"/>
              </w:rPr>
              <w:t>乐观锁校验，驳回意见不直接改成模型训练真值</w:t>
            </w:r>
          </w:p>
        </w:tc>
      </w:tr>
      <w:tr>
        <w:trPr>
          <w:cantSplit/>
        </w:trPr>
        <w:tc>
          <w:tcPr>
            <w:tcW w:type="dxa" w:w="1843"/>
            <w:vAlign w:val="center"/>
            <w:tcMar>
              <w:top w:w="80" w:type="dxa"/>
              <w:bottom w:w="80" w:type="dxa"/>
              <w:left w:w="90" w:type="dxa"/>
              <w:right w:w="90" w:type="dxa"/>
            </w:tcMar>
            <w:tcBorders>
              <w:bottom w:val="single" w:sz="4" w:color="D7DCE0"/>
            </w:tcBorders>
          </w:tcPr>
          <w:p>
            <w:pPr>
              <w:keepNext w:val="0"/>
              <w:spacing w:after="0" w:line="276" w:lineRule="auto"/>
            </w:pPr>
            <w:r>
              <w:rPr>
                <w:sz w:val="20"/>
              </w:rPr>
              <w:t>B35 动作记录及生效 FR-09</w:t>
            </w:r>
          </w:p>
        </w:tc>
        <w:tc>
          <w:tcPr>
            <w:tcW w:type="dxa" w:w="4493"/>
            <w:vAlign w:val="center"/>
            <w:tcMar>
              <w:top w:w="80" w:type="dxa"/>
              <w:bottom w:w="80" w:type="dxa"/>
              <w:left w:w="90" w:type="dxa"/>
              <w:right w:w="90" w:type="dxa"/>
            </w:tcMar>
            <w:tcBorders>
              <w:bottom w:val="single" w:sz="4" w:color="D7DCE0"/>
            </w:tcBorders>
          </w:tcPr>
          <w:p>
            <w:pPr>
              <w:keepNext w:val="0"/>
              <w:spacing w:after="0" w:line="276" w:lineRule="auto"/>
            </w:pPr>
            <w:r>
              <w:rPr>
                <w:sz w:val="20"/>
              </w:rPr>
              <w:t>草案、负责人、完成标准及实际生效日 → 动作；D+H，0 次</w:t>
            </w:r>
          </w:p>
        </w:tc>
        <w:tc>
          <w:tcPr>
            <w:tcW w:type="dxa" w:w="3888"/>
            <w:vAlign w:val="center"/>
            <w:tcMar>
              <w:top w:w="80" w:type="dxa"/>
              <w:bottom w:w="80" w:type="dxa"/>
              <w:left w:w="90" w:type="dxa"/>
              <w:right w:w="90" w:type="dxa"/>
            </w:tcMar>
            <w:tcBorders>
              <w:bottom w:val="single" w:sz="4" w:color="D7DCE0"/>
            </w:tcBorders>
          </w:tcPr>
          <w:p>
            <w:pPr>
              <w:keepNext w:val="0"/>
              <w:spacing w:after="0" w:line="276" w:lineRule="auto"/>
            </w:pPr>
            <w:r>
              <w:rPr>
                <w:sz w:val="20"/>
              </w:rPr>
              <w:t>人决定实施；模型最多起草，禁止自动改 Listing、价格、库存或发消息</w:t>
            </w:r>
          </w:p>
        </w:tc>
      </w:tr>
      <w:tr>
        <w:trPr>
          <w:cantSplit/>
        </w:trPr>
        <w:tc>
          <w:tcPr>
            <w:tcW w:type="dxa" w:w="1843"/>
            <w:vAlign w:val="center"/>
            <w:tcMar>
              <w:top w:w="80" w:type="dxa"/>
              <w:bottom w:w="80" w:type="dxa"/>
              <w:left w:w="90" w:type="dxa"/>
              <w:right w:w="90" w:type="dxa"/>
            </w:tcMar>
            <w:tcBorders>
              <w:bottom w:val="single" w:sz="4" w:color="D7DCE0"/>
            </w:tcBorders>
          </w:tcPr>
          <w:p>
            <w:pPr>
              <w:keepNext w:val="0"/>
              <w:spacing w:after="0" w:line="276" w:lineRule="auto"/>
            </w:pPr>
            <w:r>
              <w:rPr>
                <w:sz w:val="20"/>
              </w:rPr>
              <w:t>B36 观察及到期复查 FR-09</w:t>
            </w:r>
          </w:p>
        </w:tc>
        <w:tc>
          <w:tcPr>
            <w:tcW w:type="dxa" w:w="4493"/>
            <w:vAlign w:val="center"/>
            <w:tcMar>
              <w:top w:w="80" w:type="dxa"/>
              <w:bottom w:w="80" w:type="dxa"/>
              <w:left w:w="90" w:type="dxa"/>
              <w:right w:w="90" w:type="dxa"/>
            </w:tcMar>
            <w:tcBorders>
              <w:bottom w:val="single" w:sz="4" w:color="D7DCE0"/>
            </w:tcBorders>
          </w:tcPr>
          <w:p>
            <w:pPr>
              <w:keepNext w:val="0"/>
              <w:spacing w:after="0" w:line="276" w:lineRule="auto"/>
            </w:pPr>
            <w:r>
              <w:rPr>
                <w:sz w:val="20"/>
              </w:rPr>
              <w:t>生效日、结果指标、成熟条件 → 待观察或复查报告；F+H，0 次基础调用</w:t>
            </w:r>
          </w:p>
        </w:tc>
        <w:tc>
          <w:tcPr>
            <w:tcW w:type="dxa" w:w="3888"/>
            <w:vAlign w:val="center"/>
            <w:tcMar>
              <w:top w:w="80" w:type="dxa"/>
              <w:bottom w:w="80" w:type="dxa"/>
              <w:left w:w="90" w:type="dxa"/>
              <w:right w:w="90" w:type="dxa"/>
            </w:tcMar>
            <w:tcBorders>
              <w:bottom w:val="single" w:sz="4" w:color="D7DCE0"/>
            </w:tcBorders>
          </w:tcPr>
          <w:p>
            <w:pPr>
              <w:keepNext w:val="0"/>
              <w:spacing w:after="0" w:line="276" w:lineRule="auto"/>
            </w:pPr>
            <w:r>
              <w:rPr>
                <w:sz w:val="20"/>
              </w:rPr>
              <w:t>固定排程唤醒，代码验证窗口；有新报告说明时按 B25 计费，不能到期就宣布有效</w:t>
            </w:r>
          </w:p>
        </w:tc>
      </w:tr>
      <w:tr>
        <w:trPr>
          <w:cantSplit/>
        </w:trPr>
        <w:tc>
          <w:tcPr>
            <w:tcW w:type="dxa" w:w="1843"/>
            <w:vAlign w:val="center"/>
            <w:tcMar>
              <w:top w:w="80" w:type="dxa"/>
              <w:bottom w:w="80" w:type="dxa"/>
              <w:left w:w="90" w:type="dxa"/>
              <w:right w:w="90" w:type="dxa"/>
            </w:tcMar>
            <w:tcBorders>
              <w:bottom w:val="single" w:sz="4" w:color="D7DCE0"/>
            </w:tcBorders>
          </w:tcPr>
          <w:p>
            <w:pPr>
              <w:keepNext w:val="0"/>
              <w:spacing w:after="0" w:line="276" w:lineRule="auto"/>
            </w:pPr>
            <w:r>
              <w:rPr>
                <w:sz w:val="20"/>
              </w:rPr>
              <w:t>B37 关闭及再次打开 FR-09</w:t>
            </w:r>
          </w:p>
        </w:tc>
        <w:tc>
          <w:tcPr>
            <w:tcW w:type="dxa" w:w="4493"/>
            <w:vAlign w:val="center"/>
            <w:tcMar>
              <w:top w:w="80" w:type="dxa"/>
              <w:bottom w:w="80" w:type="dxa"/>
              <w:left w:w="90" w:type="dxa"/>
              <w:right w:w="90" w:type="dxa"/>
            </w:tcMar>
            <w:tcBorders>
              <w:bottom w:val="single" w:sz="4" w:color="D7DCE0"/>
            </w:tcBorders>
          </w:tcPr>
          <w:p>
            <w:pPr>
              <w:keepNext w:val="0"/>
              <w:spacing w:after="0" w:line="276" w:lineRule="auto"/>
            </w:pPr>
            <w:r>
              <w:rPr>
                <w:sz w:val="20"/>
              </w:rPr>
              <w:t>用户判断、复查证据、复发规则 → 状态变更；D+H，0 次</w:t>
            </w:r>
          </w:p>
        </w:tc>
        <w:tc>
          <w:tcPr>
            <w:tcW w:type="dxa" w:w="3888"/>
            <w:vAlign w:val="center"/>
            <w:tcMar>
              <w:top w:w="80" w:type="dxa"/>
              <w:bottom w:w="80" w:type="dxa"/>
              <w:left w:w="90" w:type="dxa"/>
              <w:right w:w="90" w:type="dxa"/>
            </w:tcMar>
            <w:tcBorders>
              <w:bottom w:val="single" w:sz="4" w:color="D7DCE0"/>
            </w:tcBorders>
          </w:tcPr>
          <w:p>
            <w:pPr>
              <w:keepNext w:val="0"/>
              <w:spacing w:after="0" w:line="276" w:lineRule="auto"/>
            </w:pPr>
            <w:r>
              <w:rPr>
                <w:sz w:val="20"/>
              </w:rPr>
              <w:t>完成动作不等于问题解决；因果效果不能仅由前后变化认定</w:t>
            </w:r>
          </w:p>
        </w:tc>
      </w:tr>
      <w:tr>
        <w:trPr>
          <w:cantSplit/>
        </w:trPr>
        <w:tc>
          <w:tcPr>
            <w:tcW w:type="dxa" w:w="1843"/>
            <w:vAlign w:val="center"/>
            <w:tcMar>
              <w:top w:w="80" w:type="dxa"/>
              <w:bottom w:w="80" w:type="dxa"/>
              <w:left w:w="90" w:type="dxa"/>
              <w:right w:w="90" w:type="dxa"/>
            </w:tcMar>
            <w:tcBorders>
              <w:bottom w:val="single" w:sz="4" w:color="D7DCE0"/>
            </w:tcBorders>
          </w:tcPr>
          <w:p>
            <w:pPr>
              <w:keepNext w:val="0"/>
              <w:spacing w:after="0" w:line="276" w:lineRule="auto"/>
            </w:pPr>
            <w:r>
              <w:rPr>
                <w:sz w:val="20"/>
              </w:rPr>
              <w:t>B38 导出站内通知 FR-11</w:t>
            </w:r>
          </w:p>
        </w:tc>
        <w:tc>
          <w:tcPr>
            <w:tcW w:type="dxa" w:w="4493"/>
            <w:vAlign w:val="center"/>
            <w:tcMar>
              <w:top w:w="80" w:type="dxa"/>
              <w:bottom w:w="80" w:type="dxa"/>
              <w:left w:w="90" w:type="dxa"/>
              <w:right w:w="90" w:type="dxa"/>
            </w:tcMar>
            <w:tcBorders>
              <w:bottom w:val="single" w:sz="4" w:color="D7DCE0"/>
            </w:tcBorders>
          </w:tcPr>
          <w:p>
            <w:pPr>
              <w:keepNext w:val="0"/>
              <w:spacing w:after="0" w:line="276" w:lineRule="auto"/>
            </w:pPr>
            <w:r>
              <w:rPr>
                <w:sz w:val="20"/>
              </w:rPr>
              <w:t>已授权结果、提醒规则 → CSV/HTML/JSON 和站内记录；F，0 次</w:t>
            </w:r>
          </w:p>
        </w:tc>
        <w:tc>
          <w:tcPr>
            <w:tcW w:type="dxa" w:w="3888"/>
            <w:vAlign w:val="center"/>
            <w:tcMar>
              <w:top w:w="80" w:type="dxa"/>
              <w:bottom w:w="80" w:type="dxa"/>
              <w:left w:w="90" w:type="dxa"/>
              <w:right w:w="90" w:type="dxa"/>
            </w:tcMar>
            <w:tcBorders>
              <w:bottom w:val="single" w:sz="4" w:color="D7DCE0"/>
            </w:tcBorders>
          </w:tcPr>
          <w:p>
            <w:pPr>
              <w:keepNext w:val="0"/>
              <w:spacing w:after="0" w:line="276" w:lineRule="auto"/>
            </w:pPr>
            <w:r>
              <w:rPr>
                <w:sz w:val="20"/>
              </w:rPr>
              <w:t>模板导出及去重发送；不需要生成式模型或外部消息工具</w:t>
            </w:r>
          </w:p>
        </w:tc>
      </w:tr>
      <w:tr>
        <w:trPr>
          <w:cantSplit/>
        </w:trPr>
        <w:tc>
          <w:tcPr>
            <w:tcW w:type="dxa" w:w="1843"/>
            <w:vAlign w:val="center"/>
            <w:tcMar>
              <w:top w:w="80" w:type="dxa"/>
              <w:bottom w:w="80" w:type="dxa"/>
              <w:left w:w="90" w:type="dxa"/>
              <w:right w:w="90" w:type="dxa"/>
            </w:tcMar>
            <w:tcBorders>
              <w:bottom w:val="single" w:sz="4" w:color="D7DCE0"/>
            </w:tcBorders>
          </w:tcPr>
          <w:p>
            <w:pPr>
              <w:keepNext w:val="0"/>
              <w:spacing w:after="0" w:line="276" w:lineRule="auto"/>
            </w:pPr>
            <w:r>
              <w:rPr>
                <w:sz w:val="20"/>
              </w:rPr>
              <w:t>B39 权限审计及保留 FR-12</w:t>
            </w:r>
          </w:p>
        </w:tc>
        <w:tc>
          <w:tcPr>
            <w:tcW w:type="dxa" w:w="4493"/>
            <w:vAlign w:val="center"/>
            <w:tcMar>
              <w:top w:w="80" w:type="dxa"/>
              <w:bottom w:w="80" w:type="dxa"/>
              <w:left w:w="90" w:type="dxa"/>
              <w:right w:w="90" w:type="dxa"/>
            </w:tcMar>
            <w:tcBorders>
              <w:bottom w:val="single" w:sz="4" w:color="D7DCE0"/>
            </w:tcBorders>
          </w:tcPr>
          <w:p>
            <w:pPr>
              <w:keepNext w:val="0"/>
              <w:spacing w:after="0" w:line="276" w:lineRule="auto"/>
            </w:pPr>
            <w:r>
              <w:rPr>
                <w:sz w:val="20"/>
              </w:rPr>
              <w:t>用户范围、访问或删除命令 → 授权结果、审计及删除台账；D，0 次</w:t>
            </w:r>
          </w:p>
        </w:tc>
        <w:tc>
          <w:tcPr>
            <w:tcW w:type="dxa" w:w="3888"/>
            <w:vAlign w:val="center"/>
            <w:tcMar>
              <w:top w:w="80" w:type="dxa"/>
              <w:bottom w:w="80" w:type="dxa"/>
              <w:left w:w="90" w:type="dxa"/>
              <w:right w:w="90" w:type="dxa"/>
            </w:tcMar>
            <w:tcBorders>
              <w:bottom w:val="single" w:sz="4" w:color="D7DCE0"/>
            </w:tcBorders>
          </w:tcPr>
          <w:p>
            <w:pPr>
              <w:keepNext w:val="0"/>
              <w:spacing w:after="0" w:line="276" w:lineRule="auto"/>
            </w:pPr>
            <w:r>
              <w:rPr>
                <w:sz w:val="20"/>
              </w:rPr>
              <w:t>所有执行模式共用权限；不能由 Agent 自行判断是否有权访问</w:t>
            </w:r>
          </w:p>
        </w:tc>
      </w:tr>
      <w:tr>
        <w:trPr>
          <w:cantSplit/>
        </w:trPr>
        <w:tc>
          <w:tcPr>
            <w:tcW w:type="dxa" w:w="1843"/>
            <w:vAlign w:val="center"/>
            <w:tcMar>
              <w:top w:w="80" w:type="dxa"/>
              <w:bottom w:w="80" w:type="dxa"/>
              <w:left w:w="90" w:type="dxa"/>
              <w:right w:w="90" w:type="dxa"/>
            </w:tcMar>
            <w:tcBorders>
              <w:bottom w:val="single" w:sz="4" w:color="D7DCE0"/>
            </w:tcBorders>
          </w:tcPr>
          <w:p>
            <w:pPr>
              <w:keepNext w:val="0"/>
              <w:spacing w:after="0" w:line="276" w:lineRule="auto"/>
            </w:pPr>
            <w:r>
              <w:rPr>
                <w:sz w:val="20"/>
              </w:rPr>
              <w:t>B40 调度恢复备份 FR-12</w:t>
            </w:r>
          </w:p>
        </w:tc>
        <w:tc>
          <w:tcPr>
            <w:tcW w:type="dxa" w:w="4493"/>
            <w:vAlign w:val="center"/>
            <w:tcMar>
              <w:top w:w="80" w:type="dxa"/>
              <w:bottom w:w="80" w:type="dxa"/>
              <w:left w:w="90" w:type="dxa"/>
              <w:right w:w="90" w:type="dxa"/>
            </w:tcMar>
            <w:tcBorders>
              <w:bottom w:val="single" w:sz="4" w:color="D7DCE0"/>
            </w:tcBorders>
          </w:tcPr>
          <w:p>
            <w:pPr>
              <w:keepNext w:val="0"/>
              <w:spacing w:after="0" w:line="276" w:lineRule="auto"/>
            </w:pPr>
            <w:r>
              <w:rPr>
                <w:sz w:val="20"/>
              </w:rPr>
              <w:t>计划、租约、备份清单 → 幂等执行及恢复记录；F，0 次</w:t>
            </w:r>
          </w:p>
        </w:tc>
        <w:tc>
          <w:tcPr>
            <w:tcW w:type="dxa" w:w="3888"/>
            <w:vAlign w:val="center"/>
            <w:tcMar>
              <w:top w:w="80" w:type="dxa"/>
              <w:bottom w:w="80" w:type="dxa"/>
              <w:left w:w="90" w:type="dxa"/>
              <w:right w:w="90" w:type="dxa"/>
            </w:tcMar>
            <w:tcBorders>
              <w:bottom w:val="single" w:sz="4" w:color="D7DCE0"/>
            </w:tcBorders>
          </w:tcPr>
          <w:p>
            <w:pPr>
              <w:keepNext w:val="0"/>
              <w:spacing w:after="0" w:line="276" w:lineRule="auto"/>
            </w:pPr>
            <w:r>
              <w:rPr>
                <w:sz w:val="20"/>
              </w:rPr>
              <w:t>故障处理有明确状态机，不让模型自动修数据库或反复重试</w:t>
            </w:r>
          </w:p>
        </w:tc>
      </w:tr>
    </w:tbl>
    <w:p>
      <w:pPr>
        <w:spacing w:after="20" w:before="0" w:line="240" w:lineRule="auto"/>
      </w:pPr>
      <w:r>
        <w:rPr>
          <w:sz w:val="4"/>
        </w:rPr>
      </w:r>
    </w:p>
    <w:p>
      <w:r>
        <w:t>模型调用预算据此计算：一次常规诊断在已有标签时为 0 或 1 次；有 N 条普通待标注反馈时，额外 N 次 S，超长内容按实际块数增加。同一标签版本和文本哈希缓存复用，五条诊断路径不能分别重标同一条反馈。问句查询通常 1 次解析，结构化页面查询为 0 次；只有确有解释需求的组合回答增加一次说明。禁止把所有评论及交易明细塞进一次大提示来伪装“单次解决”。</w:t>
      </w:r>
    </w:p>
    <w:p>
      <w:pPr>
        <w:keepNext/>
      </w:pPr>
      <w:r>
        <w:rPr>
          <w:b/>
        </w:rPr>
        <w:t>已确认的自主调查任务</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1843"/>
        <w:gridCol w:w="4493"/>
        <w:gridCol w:w="3888"/>
      </w:tblGrid>
      <w:tr>
        <w:trPr>
          <w:cantSplit/>
          <w:tblHeader/>
        </w:trPr>
        <w:tc>
          <w:tcPr>
            <w:tcW w:type="dxa" w:w="1843"/>
            <w:vAlign w:val="center"/>
            <w:tcMar>
              <w:top w:w="80" w:type="dxa"/>
              <w:bottom w:w="80" w:type="dxa"/>
              <w:left w:w="90" w:type="dxa"/>
              <w:right w:w="90" w:type="dxa"/>
            </w:tcMar>
            <w:tcBorders>
              <w:bottom w:val="single" w:sz="4" w:color="D7DCE0"/>
            </w:tcBorders>
            <w:shd w:fill="EEF1F3"/>
          </w:tcPr>
          <w:p>
            <w:pPr>
              <w:keepNext/>
              <w:spacing w:after="0" w:line="276" w:lineRule="auto"/>
            </w:pPr>
            <w:r>
              <w:rPr>
                <w:b/>
                <w:sz w:val="20"/>
              </w:rPr>
              <w:t>业务单元与需求</w:t>
            </w:r>
          </w:p>
        </w:tc>
        <w:tc>
          <w:tcPr>
            <w:tcW w:type="dxa" w:w="4493"/>
            <w:vAlign w:val="center"/>
            <w:tcMar>
              <w:top w:w="80" w:type="dxa"/>
              <w:bottom w:w="80" w:type="dxa"/>
              <w:left w:w="90" w:type="dxa"/>
              <w:right w:w="90" w:type="dxa"/>
            </w:tcMar>
            <w:tcBorders>
              <w:bottom w:val="single" w:sz="4" w:color="D7DCE0"/>
            </w:tcBorders>
            <w:shd w:fill="EEF1F3"/>
          </w:tcPr>
          <w:p>
            <w:pPr>
              <w:keepNext/>
              <w:spacing w:after="0" w:line="276" w:lineRule="auto"/>
            </w:pPr>
            <w:r>
              <w:rPr>
                <w:b/>
                <w:sz w:val="20"/>
              </w:rPr>
              <w:t>按单 prompt 和预定义流程判断</w:t>
            </w:r>
          </w:p>
        </w:tc>
        <w:tc>
          <w:tcPr>
            <w:tcW w:type="dxa" w:w="3888"/>
            <w:vAlign w:val="center"/>
            <w:tcMar>
              <w:top w:w="80" w:type="dxa"/>
              <w:bottom w:w="80" w:type="dxa"/>
              <w:left w:w="90" w:type="dxa"/>
              <w:right w:w="90" w:type="dxa"/>
            </w:tcMar>
            <w:tcBorders>
              <w:bottom w:val="single" w:sz="4" w:color="D7DCE0"/>
            </w:tcBorders>
            <w:shd w:fill="EEF1F3"/>
          </w:tcPr>
          <w:p>
            <w:pPr>
              <w:keepNext/>
              <w:spacing w:after="0" w:line="276" w:lineRule="auto"/>
            </w:pPr>
            <w:r>
              <w:rPr>
                <w:b/>
                <w:sz w:val="20"/>
              </w:rPr>
              <w:t>执行责任</w:t>
            </w:r>
          </w:p>
        </w:tc>
      </w:tr>
      <w:tr>
        <w:trPr>
          <w:cantSplit/>
        </w:trPr>
        <w:tc>
          <w:tcPr>
            <w:tcW w:type="dxa" w:w="1843"/>
            <w:vAlign w:val="center"/>
            <w:tcMar>
              <w:top w:w="80" w:type="dxa"/>
              <w:bottom w:w="80" w:type="dxa"/>
              <w:left w:w="90" w:type="dxa"/>
              <w:right w:w="90" w:type="dxa"/>
            </w:tcMar>
            <w:tcBorders>
              <w:bottom w:val="single" w:sz="4" w:color="D7DCE0"/>
            </w:tcBorders>
          </w:tcPr>
          <w:p>
            <w:pPr>
              <w:keepNext w:val="0"/>
              <w:spacing w:after="0" w:line="276" w:lineRule="auto"/>
            </w:pPr>
            <w:r>
              <w:rPr>
                <w:sz w:val="20"/>
              </w:rPr>
              <w:t>B41 模糊指令定位 FR-10/13</w:t>
            </w:r>
          </w:p>
        </w:tc>
        <w:tc>
          <w:tcPr>
            <w:tcW w:type="dxa" w:w="4493"/>
            <w:vAlign w:val="center"/>
            <w:tcMar>
              <w:top w:w="80" w:type="dxa"/>
              <w:bottom w:w="80" w:type="dxa"/>
              <w:left w:w="90" w:type="dxa"/>
              <w:right w:w="90" w:type="dxa"/>
            </w:tcMar>
            <w:tcBorders>
              <w:bottom w:val="single" w:sz="4" w:color="D7DCE0"/>
            </w:tcBorders>
          </w:tcPr>
          <w:p>
            <w:pPr>
              <w:keepNext w:val="0"/>
              <w:spacing w:after="0" w:line="276" w:lineRule="auto"/>
            </w:pPr>
            <w:r>
              <w:rPr>
                <w:sz w:val="20"/>
              </w:rPr>
              <w:t>意图解析可单次；信息不足需查询上下文与映射，步骤可预定义</w:t>
            </w:r>
          </w:p>
        </w:tc>
        <w:tc>
          <w:tcPr>
            <w:tcW w:type="dxa" w:w="3888"/>
            <w:vAlign w:val="center"/>
            <w:tcMar>
              <w:top w:w="80" w:type="dxa"/>
              <w:bottom w:w="80" w:type="dxa"/>
              <w:left w:w="90" w:type="dxa"/>
              <w:right w:w="90" w:type="dxa"/>
            </w:tcMar>
            <w:tcBorders>
              <w:bottom w:val="single" w:sz="4" w:color="D7DCE0"/>
            </w:tcBorders>
          </w:tcPr>
          <w:p>
            <w:pPr>
              <w:keepNext w:val="0"/>
              <w:spacing w:after="0" w:line="276" w:lineRule="auto"/>
            </w:pPr>
            <w:r>
              <w:rPr>
                <w:sz w:val="20"/>
              </w:rPr>
              <w:t>S+F；代码限定范围，唯一匹配继续，多候选澄清；不是仅凭模型猜站点</w:t>
            </w:r>
          </w:p>
        </w:tc>
      </w:tr>
      <w:tr>
        <w:trPr>
          <w:cantSplit/>
        </w:trPr>
        <w:tc>
          <w:tcPr>
            <w:tcW w:type="dxa" w:w="1843"/>
            <w:vAlign w:val="center"/>
            <w:tcMar>
              <w:top w:w="80" w:type="dxa"/>
              <w:bottom w:w="80" w:type="dxa"/>
              <w:left w:w="90" w:type="dxa"/>
              <w:right w:w="90" w:type="dxa"/>
            </w:tcMar>
            <w:tcBorders>
              <w:bottom w:val="single" w:sz="4" w:color="D7DCE0"/>
            </w:tcBorders>
          </w:tcPr>
          <w:p>
            <w:pPr>
              <w:keepNext w:val="0"/>
              <w:spacing w:after="0" w:line="276" w:lineRule="auto"/>
            </w:pPr>
            <w:r>
              <w:rPr>
                <w:sz w:val="20"/>
              </w:rPr>
              <w:t>B42 标准检查衔接 FR-06/13</w:t>
            </w:r>
          </w:p>
        </w:tc>
        <w:tc>
          <w:tcPr>
            <w:tcW w:type="dxa" w:w="4493"/>
            <w:vAlign w:val="center"/>
            <w:tcMar>
              <w:top w:w="80" w:type="dxa"/>
              <w:bottom w:w="80" w:type="dxa"/>
              <w:left w:w="90" w:type="dxa"/>
              <w:right w:w="90" w:type="dxa"/>
            </w:tcMar>
            <w:tcBorders>
              <w:bottom w:val="single" w:sz="4" w:color="D7DCE0"/>
            </w:tcBorders>
          </w:tcPr>
          <w:p>
            <w:pPr>
              <w:keepNext w:val="0"/>
              <w:spacing w:after="0" w:line="276" w:lineRule="auto"/>
            </w:pPr>
            <w:r>
              <w:rPr>
                <w:sz w:val="20"/>
              </w:rPr>
              <w:t>单 prompt 不能代替真实取数，检查流程可定义</w:t>
            </w:r>
          </w:p>
        </w:tc>
        <w:tc>
          <w:tcPr>
            <w:tcW w:type="dxa" w:w="3888"/>
            <w:vAlign w:val="center"/>
            <w:tcMar>
              <w:top w:w="80" w:type="dxa"/>
              <w:bottom w:w="80" w:type="dxa"/>
              <w:left w:w="90" w:type="dxa"/>
              <w:right w:w="90" w:type="dxa"/>
            </w:tcMar>
            <w:tcBorders>
              <w:bottom w:val="single" w:sz="4" w:color="D7DCE0"/>
            </w:tcBorders>
          </w:tcPr>
          <w:p>
            <w:pPr>
              <w:keepNext w:val="0"/>
              <w:spacing w:after="0" w:line="276" w:lineRule="auto"/>
            </w:pPr>
            <w:r>
              <w:rPr>
                <w:sz w:val="20"/>
              </w:rPr>
              <w:t>F；复用同快照 L1 或补做，产物作为 Agent 起始证据</w:t>
            </w:r>
          </w:p>
        </w:tc>
      </w:tr>
      <w:tr>
        <w:trPr>
          <w:cantSplit/>
        </w:trPr>
        <w:tc>
          <w:tcPr>
            <w:tcW w:type="dxa" w:w="1843"/>
            <w:vAlign w:val="center"/>
            <w:tcMar>
              <w:top w:w="80" w:type="dxa"/>
              <w:bottom w:w="80" w:type="dxa"/>
              <w:left w:w="90" w:type="dxa"/>
              <w:right w:w="90" w:type="dxa"/>
            </w:tcMar>
            <w:tcBorders>
              <w:bottom w:val="single" w:sz="4" w:color="D7DCE0"/>
            </w:tcBorders>
          </w:tcPr>
          <w:p>
            <w:pPr>
              <w:keepNext w:val="0"/>
              <w:spacing w:after="0" w:line="276" w:lineRule="auto"/>
            </w:pPr>
            <w:r>
              <w:rPr>
                <w:sz w:val="20"/>
              </w:rPr>
              <w:t>B43 证据驱动的自主调查 FR-13</w:t>
            </w:r>
          </w:p>
        </w:tc>
        <w:tc>
          <w:tcPr>
            <w:tcW w:type="dxa" w:w="4493"/>
            <w:vAlign w:val="center"/>
            <w:tcMar>
              <w:top w:w="80" w:type="dxa"/>
              <w:bottom w:w="80" w:type="dxa"/>
              <w:left w:w="90" w:type="dxa"/>
              <w:right w:w="90" w:type="dxa"/>
            </w:tcMar>
            <w:tcBorders>
              <w:bottom w:val="single" w:sz="4" w:color="D7DCE0"/>
            </w:tcBorders>
          </w:tcPr>
          <w:p>
            <w:pPr>
              <w:keepNext w:val="0"/>
              <w:spacing w:after="0" w:line="276" w:lineRule="auto"/>
            </w:pPr>
            <w:r>
              <w:rPr>
                <w:sz w:val="20"/>
              </w:rPr>
              <w:t>单 prompt 无法取得尚未查询的证据；调查方向依赖中间结果、无法穷举</w:t>
            </w:r>
          </w:p>
        </w:tc>
        <w:tc>
          <w:tcPr>
            <w:tcW w:type="dxa" w:w="3888"/>
            <w:vAlign w:val="center"/>
            <w:tcMar>
              <w:top w:w="80" w:type="dxa"/>
              <w:bottom w:w="80" w:type="dxa"/>
              <w:left w:w="90" w:type="dxa"/>
              <w:right w:w="90" w:type="dxa"/>
            </w:tcMar>
            <w:tcBorders>
              <w:bottom w:val="single" w:sz="4" w:color="D7DCE0"/>
            </w:tcBorders>
          </w:tcPr>
          <w:p>
            <w:pPr>
              <w:keepNext w:val="0"/>
              <w:spacing w:after="0" w:line="276" w:lineRule="auto"/>
            </w:pPr>
            <w:r>
              <w:rPr>
                <w:sz w:val="20"/>
              </w:rPr>
              <w:t>A；模型选择下一工具、对象内切片与参数，提出并核验探索假设</w:t>
            </w:r>
          </w:p>
        </w:tc>
      </w:tr>
      <w:tr>
        <w:trPr>
          <w:cantSplit/>
        </w:trPr>
        <w:tc>
          <w:tcPr>
            <w:tcW w:type="dxa" w:w="1843"/>
            <w:vAlign w:val="center"/>
            <w:tcMar>
              <w:top w:w="80" w:type="dxa"/>
              <w:bottom w:w="80" w:type="dxa"/>
              <w:left w:w="90" w:type="dxa"/>
              <w:right w:w="90" w:type="dxa"/>
            </w:tcMar>
            <w:tcBorders>
              <w:bottom w:val="single" w:sz="4" w:color="D7DCE0"/>
            </w:tcBorders>
          </w:tcPr>
          <w:p>
            <w:pPr>
              <w:keepNext w:val="0"/>
              <w:spacing w:after="0" w:line="276" w:lineRule="auto"/>
            </w:pPr>
            <w:r>
              <w:rPr>
                <w:sz w:val="20"/>
              </w:rPr>
              <w:t>B44 反证及停止判断 FR-13</w:t>
            </w:r>
          </w:p>
        </w:tc>
        <w:tc>
          <w:tcPr>
            <w:tcW w:type="dxa" w:w="4493"/>
            <w:vAlign w:val="center"/>
            <w:tcMar>
              <w:top w:w="80" w:type="dxa"/>
              <w:bottom w:w="80" w:type="dxa"/>
              <w:left w:w="90" w:type="dxa"/>
              <w:right w:w="90" w:type="dxa"/>
            </w:tcMar>
            <w:tcBorders>
              <w:bottom w:val="single" w:sz="4" w:color="D7DCE0"/>
            </w:tcBorders>
          </w:tcPr>
          <w:p>
            <w:pPr>
              <w:keepNext w:val="0"/>
              <w:spacing w:after="0" w:line="276" w:lineRule="auto"/>
            </w:pPr>
            <w:r>
              <w:rPr>
                <w:sz w:val="20"/>
              </w:rPr>
              <w:t>可定义强制守卫，具体反证方向依赖当前假设</w:t>
            </w:r>
          </w:p>
        </w:tc>
        <w:tc>
          <w:tcPr>
            <w:tcW w:type="dxa" w:w="3888"/>
            <w:vAlign w:val="center"/>
            <w:tcMar>
              <w:top w:w="80" w:type="dxa"/>
              <w:bottom w:w="80" w:type="dxa"/>
              <w:left w:w="90" w:type="dxa"/>
              <w:right w:w="90" w:type="dxa"/>
            </w:tcMar>
            <w:tcBorders>
              <w:bottom w:val="single" w:sz="4" w:color="D7DCE0"/>
            </w:tcBorders>
          </w:tcPr>
          <w:p>
            <w:pPr>
              <w:keepNext w:val="0"/>
              <w:spacing w:after="0" w:line="276" w:lineRule="auto"/>
            </w:pPr>
            <w:r>
              <w:rPr>
                <w:sz w:val="20"/>
              </w:rPr>
              <w:t>A+D；模型选反证查询，代码强制权限预算停止；禁止模型解除限制</w:t>
            </w:r>
          </w:p>
        </w:tc>
      </w:tr>
      <w:tr>
        <w:trPr>
          <w:cantSplit/>
        </w:trPr>
        <w:tc>
          <w:tcPr>
            <w:tcW w:type="dxa" w:w="1843"/>
            <w:vAlign w:val="center"/>
            <w:tcMar>
              <w:top w:w="80" w:type="dxa"/>
              <w:bottom w:w="80" w:type="dxa"/>
              <w:left w:w="90" w:type="dxa"/>
              <w:right w:w="90" w:type="dxa"/>
            </w:tcMar>
            <w:tcBorders>
              <w:bottom w:val="single" w:sz="4" w:color="D7DCE0"/>
            </w:tcBorders>
          </w:tcPr>
          <w:p>
            <w:pPr>
              <w:keepNext w:val="0"/>
              <w:spacing w:after="0" w:line="276" w:lineRule="auto"/>
            </w:pPr>
            <w:r>
              <w:rPr>
                <w:sz w:val="20"/>
              </w:rPr>
              <w:t>B45 调查产物与内部任务 FR-09/13</w:t>
            </w:r>
          </w:p>
        </w:tc>
        <w:tc>
          <w:tcPr>
            <w:tcW w:type="dxa" w:w="4493"/>
            <w:vAlign w:val="center"/>
            <w:tcMar>
              <w:top w:w="80" w:type="dxa"/>
              <w:bottom w:w="80" w:type="dxa"/>
              <w:left w:w="90" w:type="dxa"/>
              <w:right w:w="90" w:type="dxa"/>
            </w:tcMar>
            <w:tcBorders>
              <w:bottom w:val="single" w:sz="4" w:color="D7DCE0"/>
            </w:tcBorders>
          </w:tcPr>
          <w:p>
            <w:pPr>
              <w:keepNext w:val="0"/>
              <w:spacing w:after="0" w:line="276" w:lineRule="auto"/>
            </w:pPr>
            <w:r>
              <w:rPr>
                <w:sz w:val="20"/>
              </w:rPr>
              <w:t>模型能结构化提出写入，授权与执行步骤可定义</w:t>
            </w:r>
          </w:p>
        </w:tc>
        <w:tc>
          <w:tcPr>
            <w:tcW w:type="dxa" w:w="3888"/>
            <w:vAlign w:val="center"/>
            <w:tcMar>
              <w:top w:w="80" w:type="dxa"/>
              <w:bottom w:w="80" w:type="dxa"/>
              <w:left w:w="90" w:type="dxa"/>
              <w:right w:w="90" w:type="dxa"/>
            </w:tcMar>
            <w:tcBorders>
              <w:bottom w:val="single" w:sz="4" w:color="D7DCE0"/>
            </w:tcBorders>
          </w:tcPr>
          <w:p>
            <w:pPr>
              <w:keepNext w:val="0"/>
              <w:spacing w:after="0" w:line="276" w:lineRule="auto"/>
            </w:pPr>
            <w:r>
              <w:rPr>
                <w:sz w:val="20"/>
              </w:rPr>
              <w:t>S/F+D；自动保存产物，内部执行匹配明确授权规则，否则生成待确认提案</w:t>
            </w:r>
          </w:p>
        </w:tc>
      </w:tr>
      <w:tr>
        <w:trPr>
          <w:cantSplit/>
        </w:trPr>
        <w:tc>
          <w:tcPr>
            <w:tcW w:type="dxa" w:w="1843"/>
            <w:vAlign w:val="center"/>
            <w:tcMar>
              <w:top w:w="80" w:type="dxa"/>
              <w:bottom w:w="80" w:type="dxa"/>
              <w:left w:w="90" w:type="dxa"/>
              <w:right w:w="90" w:type="dxa"/>
            </w:tcMar>
            <w:tcBorders>
              <w:bottom w:val="single" w:sz="4" w:color="D7DCE0"/>
            </w:tcBorders>
          </w:tcPr>
          <w:p>
            <w:pPr>
              <w:keepNext w:val="0"/>
              <w:spacing w:after="0" w:line="276" w:lineRule="auto"/>
            </w:pPr>
            <w:r>
              <w:rPr>
                <w:sz w:val="20"/>
              </w:rPr>
              <w:t>B46 恢复与人工接续 FR-12/13</w:t>
            </w:r>
          </w:p>
        </w:tc>
        <w:tc>
          <w:tcPr>
            <w:tcW w:type="dxa" w:w="4493"/>
            <w:vAlign w:val="center"/>
            <w:tcMar>
              <w:top w:w="80" w:type="dxa"/>
              <w:bottom w:w="80" w:type="dxa"/>
              <w:left w:w="90" w:type="dxa"/>
              <w:right w:w="90" w:type="dxa"/>
            </w:tcMar>
            <w:tcBorders>
              <w:bottom w:val="single" w:sz="4" w:color="D7DCE0"/>
            </w:tcBorders>
          </w:tcPr>
          <w:p>
            <w:pPr>
              <w:keepNext w:val="0"/>
              <w:spacing w:after="0" w:line="276" w:lineRule="auto"/>
            </w:pPr>
            <w:r>
              <w:rPr>
                <w:sz w:val="20"/>
              </w:rPr>
              <w:t>恢复、确认和过期规则可定义</w:t>
            </w:r>
          </w:p>
        </w:tc>
        <w:tc>
          <w:tcPr>
            <w:tcW w:type="dxa" w:w="3888"/>
            <w:vAlign w:val="center"/>
            <w:tcMar>
              <w:top w:w="80" w:type="dxa"/>
              <w:bottom w:w="80" w:type="dxa"/>
              <w:left w:w="90" w:type="dxa"/>
              <w:right w:w="90" w:type="dxa"/>
            </w:tcMar>
            <w:tcBorders>
              <w:bottom w:val="single" w:sz="4" w:color="D7DCE0"/>
            </w:tcBorders>
          </w:tcPr>
          <w:p>
            <w:pPr>
              <w:keepNext w:val="0"/>
              <w:spacing w:after="0" w:line="276" w:lineRule="auto"/>
            </w:pPr>
            <w:r>
              <w:rPr>
                <w:sz w:val="20"/>
              </w:rPr>
              <w:t>F+H；图恢复原运行，批准提案通过领域命令执行，不靠模型记忆批准</w:t>
            </w:r>
          </w:p>
        </w:tc>
      </w:tr>
    </w:tbl>
    <w:p>
      <w:pPr>
        <w:spacing w:after="20" w:before="0" w:line="240" w:lineRule="auto"/>
      </w:pPr>
      <w:r>
        <w:rPr>
          <w:sz w:val="4"/>
        </w:rPr>
      </w:r>
    </w:p>
    <w:p>
      <w:r>
        <w:t>2026-09-20 用户确认：自主调查属于本次交付，Agent 有明确任务、权限和停止条件，可自动写入调查产物及明确授权的内部任务。B43 是核心 Agent 任务；B44 中证据选择属于同一 Agent，不另拆反证 Agent。其余任务保持最少必要模型调用，不能把整个系统改成自主循环。</w:t>
      </w:r>
    </w:p>
    <w:p>
      <w:r>
        <w:t>简单组合问句仍按 B32 的固定模板执行；无需反馈循环的组合可在白名单内用一次结构化任务分解，再由固定代码执行。范围内的“分析原因”转 B41 至 B44，不以旧版受限查询范围拒绝。暂不另建任意图 DSL 或通用动态计划平台。</w:t>
      </w:r>
    </w:p>
    <w:p>
      <w:r>
        <w:t>模糊指令的定位遵循需求第 5.3 节：先使用可见上下文，再查询授权工作区内的映射与异常摘要；多个合理站点不能只选最大异常者。明确跨站点调查逐站点计算并列报告，保留独立时区、币种和数据截止日。固定检查与自主探索共同构成一次完整调查，用户不需要了解 L1/L2 或选择 LangGraph。</w:t>
      </w:r>
    </w:p>
    <w:p>
      <w:pPr>
        <w:keepNext/>
      </w:pPr>
      <w:r>
        <w:rPr>
          <w:b/>
        </w:rPr>
        <w:t>框架选择及责任边界</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1843"/>
        <w:gridCol w:w="4493"/>
        <w:gridCol w:w="3888"/>
      </w:tblGrid>
      <w:tr>
        <w:trPr>
          <w:cantSplit/>
          <w:tblHeader/>
        </w:trPr>
        <w:tc>
          <w:tcPr>
            <w:tcW w:type="dxa" w:w="1843"/>
            <w:vAlign w:val="center"/>
            <w:tcMar>
              <w:top w:w="80" w:type="dxa"/>
              <w:bottom w:w="80" w:type="dxa"/>
              <w:left w:w="90" w:type="dxa"/>
              <w:right w:w="90" w:type="dxa"/>
            </w:tcMar>
            <w:tcBorders>
              <w:bottom w:val="single" w:sz="4" w:color="D7DCE0"/>
            </w:tcBorders>
            <w:shd w:fill="EEF1F3"/>
          </w:tcPr>
          <w:p>
            <w:pPr>
              <w:keepNext/>
              <w:spacing w:after="0" w:line="276" w:lineRule="auto"/>
            </w:pPr>
            <w:r>
              <w:rPr>
                <w:b/>
                <w:sz w:val="20"/>
              </w:rPr>
              <w:t>执行范围</w:t>
            </w:r>
          </w:p>
        </w:tc>
        <w:tc>
          <w:tcPr>
            <w:tcW w:type="dxa" w:w="4493"/>
            <w:vAlign w:val="center"/>
            <w:tcMar>
              <w:top w:w="80" w:type="dxa"/>
              <w:bottom w:w="80" w:type="dxa"/>
              <w:left w:w="90" w:type="dxa"/>
              <w:right w:w="90" w:type="dxa"/>
            </w:tcMar>
            <w:tcBorders>
              <w:bottom w:val="single" w:sz="4" w:color="D7DCE0"/>
            </w:tcBorders>
            <w:shd w:fill="EEF1F3"/>
          </w:tcPr>
          <w:p>
            <w:pPr>
              <w:keepNext/>
              <w:spacing w:after="0" w:line="276" w:lineRule="auto"/>
            </w:pPr>
            <w:r>
              <w:rPr>
                <w:b/>
                <w:sz w:val="20"/>
              </w:rPr>
              <w:t>推荐实现及原因</w:t>
            </w:r>
          </w:p>
        </w:tc>
        <w:tc>
          <w:tcPr>
            <w:tcW w:type="dxa" w:w="3888"/>
            <w:vAlign w:val="center"/>
            <w:tcMar>
              <w:top w:w="80" w:type="dxa"/>
              <w:bottom w:w="80" w:type="dxa"/>
              <w:left w:w="90" w:type="dxa"/>
              <w:right w:w="90" w:type="dxa"/>
            </w:tcMar>
            <w:tcBorders>
              <w:bottom w:val="single" w:sz="4" w:color="D7DCE0"/>
            </w:tcBorders>
            <w:shd w:fill="EEF1F3"/>
          </w:tcPr>
          <w:p>
            <w:pPr>
              <w:keepNext/>
              <w:spacing w:after="0" w:line="276" w:lineRule="auto"/>
            </w:pPr>
            <w:r>
              <w:rPr>
                <w:b/>
                <w:sz w:val="20"/>
              </w:rPr>
              <w:t>不选其他方案的具体理由</w:t>
            </w:r>
          </w:p>
        </w:tc>
      </w:tr>
      <w:tr>
        <w:trPr>
          <w:cantSplit/>
        </w:trPr>
        <w:tc>
          <w:tcPr>
            <w:tcW w:type="dxa" w:w="1843"/>
            <w:vAlign w:val="center"/>
            <w:tcMar>
              <w:top w:w="80" w:type="dxa"/>
              <w:bottom w:w="80" w:type="dxa"/>
              <w:left w:w="90" w:type="dxa"/>
              <w:right w:w="90" w:type="dxa"/>
            </w:tcMar>
            <w:tcBorders>
              <w:bottom w:val="single" w:sz="4" w:color="D7DCE0"/>
            </w:tcBorders>
          </w:tcPr>
          <w:p>
            <w:pPr>
              <w:keepNext w:val="0"/>
              <w:spacing w:after="0" w:line="276" w:lineRule="auto"/>
            </w:pPr>
            <w:r>
              <w:rPr>
                <w:sz w:val="20"/>
              </w:rPr>
              <w:t>当前 D、S、F、H</w:t>
            </w:r>
          </w:p>
        </w:tc>
        <w:tc>
          <w:tcPr>
            <w:tcW w:type="dxa" w:w="4493"/>
            <w:vAlign w:val="center"/>
            <w:tcMar>
              <w:top w:w="80" w:type="dxa"/>
              <w:bottom w:w="80" w:type="dxa"/>
              <w:left w:w="90" w:type="dxa"/>
              <w:right w:w="90" w:type="dxa"/>
            </w:tcMar>
            <w:tcBorders>
              <w:bottom w:val="single" w:sz="4" w:color="D7DCE0"/>
            </w:tcBorders>
          </w:tcPr>
          <w:p>
            <w:pPr>
              <w:keepNext w:val="0"/>
              <w:spacing w:after="0" w:line="276" w:lineRule="auto"/>
            </w:pPr>
            <w:r>
              <w:rPr>
                <w:sz w:val="20"/>
              </w:rPr>
              <w:t>Python 显式服务函数、HTTPX/Pydantic、Celery；业务进度持久化到 Run/StepResult</w:t>
            </w:r>
          </w:p>
        </w:tc>
        <w:tc>
          <w:tcPr>
            <w:tcW w:type="dxa" w:w="3888"/>
            <w:vAlign w:val="center"/>
            <w:tcMar>
              <w:top w:w="80" w:type="dxa"/>
              <w:bottom w:w="80" w:type="dxa"/>
              <w:left w:w="90" w:type="dxa"/>
              <w:right w:w="90" w:type="dxa"/>
            </w:tcMar>
            <w:tcBorders>
              <w:bottom w:val="single" w:sz="4" w:color="D7DCE0"/>
            </w:tcBorders>
          </w:tcPr>
          <w:p>
            <w:pPr>
              <w:keepNext w:val="0"/>
              <w:spacing w:after="0" w:line="276" w:lineRule="auto"/>
            </w:pPr>
            <w:r>
              <w:rPr>
                <w:sz w:val="20"/>
              </w:rPr>
              <w:t>固定依赖和分支可直接测试；单次语义调用没有自主工具循环，不需要 Agent harness</w:t>
            </w:r>
          </w:p>
        </w:tc>
      </w:tr>
      <w:tr>
        <w:trPr>
          <w:cantSplit/>
        </w:trPr>
        <w:tc>
          <w:tcPr>
            <w:tcW w:type="dxa" w:w="1843"/>
            <w:vAlign w:val="center"/>
            <w:tcMar>
              <w:top w:w="80" w:type="dxa"/>
              <w:bottom w:w="80" w:type="dxa"/>
              <w:left w:w="90" w:type="dxa"/>
              <w:right w:w="90" w:type="dxa"/>
            </w:tcMar>
            <w:tcBorders>
              <w:bottom w:val="single" w:sz="4" w:color="D7DCE0"/>
            </w:tcBorders>
          </w:tcPr>
          <w:p>
            <w:pPr>
              <w:keepNext w:val="0"/>
              <w:spacing w:after="0" w:line="276" w:lineRule="auto"/>
            </w:pPr>
            <w:r>
              <w:rPr>
                <w:sz w:val="20"/>
              </w:rPr>
              <w:t>无反馈循环的组合查询</w:t>
            </w:r>
          </w:p>
        </w:tc>
        <w:tc>
          <w:tcPr>
            <w:tcW w:type="dxa" w:w="4493"/>
            <w:vAlign w:val="center"/>
            <w:tcMar>
              <w:top w:w="80" w:type="dxa"/>
              <w:bottom w:w="80" w:type="dxa"/>
              <w:left w:w="90" w:type="dxa"/>
              <w:right w:w="90" w:type="dxa"/>
            </w:tcMar>
            <w:tcBorders>
              <w:bottom w:val="single" w:sz="4" w:color="D7DCE0"/>
            </w:tcBorders>
          </w:tcPr>
          <w:p>
            <w:pPr>
              <w:keepNext w:val="0"/>
              <w:spacing w:after="0" w:line="276" w:lineRule="auto"/>
            </w:pPr>
            <w:r>
              <w:rPr>
                <w:sz w:val="20"/>
              </w:rPr>
              <w:t>Pydantic 计划 schema、有限白名单执行器，仍可用 Python</w:t>
            </w:r>
          </w:p>
        </w:tc>
        <w:tc>
          <w:tcPr>
            <w:tcW w:type="dxa" w:w="3888"/>
            <w:vAlign w:val="center"/>
            <w:tcMar>
              <w:top w:w="80" w:type="dxa"/>
              <w:bottom w:w="80" w:type="dxa"/>
              <w:left w:w="90" w:type="dxa"/>
              <w:right w:w="90" w:type="dxa"/>
            </w:tcMar>
            <w:tcBorders>
              <w:bottom w:val="single" w:sz="4" w:color="D7DCE0"/>
            </w:tcBorders>
          </w:tcPr>
          <w:p>
            <w:pPr>
              <w:keepNext w:val="0"/>
              <w:spacing w:after="0" w:line="276" w:lineRule="auto"/>
            </w:pPr>
            <w:r>
              <w:rPr>
                <w:sz w:val="20"/>
              </w:rPr>
              <w:t>不为最多几层的已校验计划构建通用工作流语言；若开始出现反复重规划，重新归类为 A</w:t>
            </w:r>
          </w:p>
        </w:tc>
      </w:tr>
      <w:tr>
        <w:trPr>
          <w:cantSplit/>
        </w:trPr>
        <w:tc>
          <w:tcPr>
            <w:tcW w:type="dxa" w:w="1843"/>
            <w:vAlign w:val="center"/>
            <w:tcMar>
              <w:top w:w="80" w:type="dxa"/>
              <w:bottom w:w="80" w:type="dxa"/>
              <w:left w:w="90" w:type="dxa"/>
              <w:right w:w="90" w:type="dxa"/>
            </w:tcMar>
            <w:tcBorders>
              <w:bottom w:val="single" w:sz="4" w:color="D7DCE0"/>
            </w:tcBorders>
          </w:tcPr>
          <w:p>
            <w:pPr>
              <w:keepNext w:val="0"/>
              <w:spacing w:after="0" w:line="276" w:lineRule="auto"/>
            </w:pPr>
            <w:r>
              <w:rPr>
                <w:sz w:val="20"/>
              </w:rPr>
              <w:t>已确认 B43/B44 自主调查</w:t>
            </w:r>
          </w:p>
        </w:tc>
        <w:tc>
          <w:tcPr>
            <w:tcW w:type="dxa" w:w="4493"/>
            <w:vAlign w:val="center"/>
            <w:tcMar>
              <w:top w:w="80" w:type="dxa"/>
              <w:bottom w:w="80" w:type="dxa"/>
              <w:left w:w="90" w:type="dxa"/>
              <w:right w:w="90" w:type="dxa"/>
            </w:tcMar>
            <w:tcBorders>
              <w:bottom w:val="single" w:sz="4" w:color="D7DCE0"/>
            </w:tcBorders>
          </w:tcPr>
          <w:p>
            <w:pPr>
              <w:keepNext w:val="0"/>
              <w:spacing w:after="0" w:line="276" w:lineRule="auto"/>
            </w:pPr>
            <w:r>
              <w:rPr>
                <w:sz w:val="20"/>
              </w:rPr>
              <w:t>LangGraph StateGraph 管理调查状态、工具节点、条件边与 checkpoint</w:t>
            </w:r>
          </w:p>
        </w:tc>
        <w:tc>
          <w:tcPr>
            <w:tcW w:type="dxa" w:w="3888"/>
            <w:vAlign w:val="center"/>
            <w:tcMar>
              <w:top w:w="80" w:type="dxa"/>
              <w:bottom w:w="80" w:type="dxa"/>
              <w:left w:w="90" w:type="dxa"/>
              <w:right w:w="90" w:type="dxa"/>
            </w:tcMar>
            <w:tcBorders>
              <w:bottom w:val="single" w:sz="4" w:color="D7DCE0"/>
            </w:tcBorders>
          </w:tcPr>
          <w:p>
            <w:pPr>
              <w:keepNext w:val="0"/>
              <w:spacing w:after="0" w:line="276" w:lineRule="auto"/>
            </w:pPr>
            <w:r>
              <w:rPr>
                <w:sz w:val="20"/>
              </w:rPr>
              <w:t>自主决策循环和可恢复执行有明确需求；框架收益对应 A 的实际复杂性</w:t>
            </w:r>
          </w:p>
        </w:tc>
      </w:tr>
      <w:tr>
        <w:trPr>
          <w:cantSplit/>
        </w:trPr>
        <w:tc>
          <w:tcPr>
            <w:tcW w:type="dxa" w:w="1843"/>
            <w:vAlign w:val="center"/>
            <w:tcMar>
              <w:top w:w="80" w:type="dxa"/>
              <w:bottom w:w="80" w:type="dxa"/>
              <w:left w:w="90" w:type="dxa"/>
              <w:right w:w="90" w:type="dxa"/>
            </w:tcMar>
            <w:tcBorders>
              <w:bottom w:val="single" w:sz="4" w:color="D7DCE0"/>
            </w:tcBorders>
          </w:tcPr>
          <w:p>
            <w:pPr>
              <w:keepNext w:val="0"/>
              <w:spacing w:after="0" w:line="276" w:lineRule="auto"/>
            </w:pPr>
            <w:r>
              <w:rPr>
                <w:sz w:val="20"/>
              </w:rPr>
              <w:t>LangChain 是否同时需要</w:t>
            </w:r>
          </w:p>
        </w:tc>
        <w:tc>
          <w:tcPr>
            <w:tcW w:type="dxa" w:w="4493"/>
            <w:vAlign w:val="center"/>
            <w:tcMar>
              <w:top w:w="80" w:type="dxa"/>
              <w:bottom w:w="80" w:type="dxa"/>
              <w:left w:w="90" w:type="dxa"/>
              <w:right w:w="90" w:type="dxa"/>
            </w:tcMar>
            <w:tcBorders>
              <w:bottom w:val="single" w:sz="4" w:color="D7DCE0"/>
            </w:tcBorders>
          </w:tcPr>
          <w:p>
            <w:pPr>
              <w:keepNext w:val="0"/>
              <w:spacing w:after="0" w:line="276" w:lineRule="auto"/>
            </w:pPr>
            <w:r>
              <w:rPr>
                <w:sz w:val="20"/>
              </w:rPr>
              <w:t>不采用 LangChain create_agent 上层循环；LangGraph 节点调用统一模型适配器</w:t>
            </w:r>
          </w:p>
        </w:tc>
        <w:tc>
          <w:tcPr>
            <w:tcW w:type="dxa" w:w="3888"/>
            <w:vAlign w:val="center"/>
            <w:tcMar>
              <w:top w:w="80" w:type="dxa"/>
              <w:bottom w:w="80" w:type="dxa"/>
              <w:left w:w="90" w:type="dxa"/>
              <w:right w:w="90" w:type="dxa"/>
            </w:tcMar>
            <w:tcBorders>
              <w:bottom w:val="single" w:sz="4" w:color="D7DCE0"/>
            </w:tcBorders>
          </w:tcPr>
          <w:p>
            <w:pPr>
              <w:keepNext w:val="0"/>
              <w:spacing w:after="0" w:line="276" w:lineRule="auto"/>
            </w:pPr>
            <w:r>
              <w:rPr>
                <w:sz w:val="20"/>
              </w:rPr>
              <w:t>LangChain 可用于模型/工具适配或标准 create_agent 循环；只有所需能力确能减少维护时才引入相应包</w:t>
            </w:r>
          </w:p>
        </w:tc>
      </w:tr>
      <w:tr>
        <w:trPr>
          <w:cantSplit/>
        </w:trPr>
        <w:tc>
          <w:tcPr>
            <w:tcW w:type="dxa" w:w="1843"/>
            <w:vAlign w:val="center"/>
            <w:tcMar>
              <w:top w:w="80" w:type="dxa"/>
              <w:bottom w:w="80" w:type="dxa"/>
              <w:left w:w="90" w:type="dxa"/>
              <w:right w:w="90" w:type="dxa"/>
            </w:tcMar>
            <w:tcBorders>
              <w:bottom w:val="single" w:sz="4" w:color="D7DCE0"/>
            </w:tcBorders>
          </w:tcPr>
          <w:p>
            <w:pPr>
              <w:keepNext w:val="0"/>
              <w:spacing w:after="0" w:line="276" w:lineRule="auto"/>
            </w:pPr>
            <w:r>
              <w:rPr>
                <w:sz w:val="20"/>
              </w:rPr>
              <w:t>其他框架或自研 Agent</w:t>
            </w:r>
          </w:p>
        </w:tc>
        <w:tc>
          <w:tcPr>
            <w:tcW w:type="dxa" w:w="4493"/>
            <w:vAlign w:val="center"/>
            <w:tcMar>
              <w:top w:w="80" w:type="dxa"/>
              <w:bottom w:w="80" w:type="dxa"/>
              <w:left w:w="90" w:type="dxa"/>
              <w:right w:w="90" w:type="dxa"/>
            </w:tcMar>
            <w:tcBorders>
              <w:bottom w:val="single" w:sz="4" w:color="D7DCE0"/>
            </w:tcBorders>
          </w:tcPr>
          <w:p>
            <w:pPr>
              <w:keepNext w:val="0"/>
              <w:spacing w:after="0" w:line="276" w:lineRule="auto"/>
            </w:pPr>
            <w:r>
              <w:rPr>
                <w:sz w:val="20"/>
              </w:rPr>
              <w:t>当前不用多 Agent 框架、独立持久化工作流平台或自研开放循环</w:t>
            </w:r>
          </w:p>
        </w:tc>
        <w:tc>
          <w:tcPr>
            <w:tcW w:type="dxa" w:w="3888"/>
            <w:vAlign w:val="center"/>
            <w:tcMar>
              <w:top w:w="80" w:type="dxa"/>
              <w:bottom w:w="80" w:type="dxa"/>
              <w:left w:w="90" w:type="dxa"/>
              <w:right w:w="90" w:type="dxa"/>
            </w:tcMar>
            <w:tcBorders>
              <w:bottom w:val="single" w:sz="4" w:color="D7DCE0"/>
            </w:tcBorders>
          </w:tcPr>
          <w:p>
            <w:pPr>
              <w:keepNext w:val="0"/>
              <w:spacing w:after="0" w:line="276" w:lineRule="auto"/>
            </w:pPr>
            <w:r>
              <w:rPr>
                <w:sz w:val="20"/>
              </w:rPr>
              <w:t>单机小团队没有已证明的协作或跨系统事务需求；自主调查使用成熟图运行时，不自研 checkpoint</w:t>
            </w:r>
          </w:p>
        </w:tc>
      </w:tr>
    </w:tbl>
    <w:p>
      <w:pPr>
        <w:spacing w:after="20" w:before="0" w:line="240" w:lineRule="auto"/>
      </w:pPr>
      <w:r>
        <w:rPr>
          <w:sz w:val="4"/>
        </w:rPr>
      </w:r>
    </w:p>
    <w:p>
      <w:r>
        <w:t>LangGraph 同样支持固定流程，不能用“是固定流程”证明它不适用；这里选择 Python 是因为有限路径不需要通用图运行时，且结果审计本来就在业务数据库。引入 LangGraph 也不必天然产生双重状态：应让它负责调查执行 checkpoint，业务表负责指标、证据、事件和动作。Celery 只分发调查运行，图负责内部恢复；不得再由 StepResult 驱动同一调查的另一套恢复。正式结果发布仍经过带幂等键的领域服务，图 checkpoint 不能代替业务审计或外部副作用去重。</w:t>
      </w:r>
    </w:p>
    <w:p>
      <w:r>
        <w:t>当前固定诊断骨架为 ValidateInputs → LoadMetrics → CollectEvidence → BuildCandidates → Explain → Guard → Publish；五条路径在 CollectEvidence 内选择预定义检查。workflow_version 标识代码及分支契约，不引入图 DSL。缺数据发布有限报告；补数创建新输入版本。人工处理与复查通过 operations 的业务状态持续保存，旧运行恢复必须使用兼容流程版本，不能拼接语义不同的步骤结果。</w:t>
      </w:r>
    </w:p>
    <w:p>
      <w:r>
        <w:t>本次确认的组合是“确定性主系统 + LangGraph 有界自主调查 + 受控业务写入”。标准 D/S/F 使用 Python；B43/B44 使用 LangGraph；所有修改都由业务命令服务执行。LangChain create_agent 不参与控制同一循环；若 LangGraph 的传递依赖包含 langchain-core，不等于另外采用了 LangChain Agent 框架。模型服务及全部依赖补丁尚未冻结。</w:t>
      </w:r>
    </w:p>
    <w:p>
      <w:pPr>
        <w:pStyle w:val="Heading2"/>
      </w:pPr>
      <w:r>
        <w:t>11.4 调度执行状态与重试责任</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1843"/>
        <w:gridCol w:w="4493"/>
        <w:gridCol w:w="3888"/>
      </w:tblGrid>
      <w:tr>
        <w:trPr>
          <w:cantSplit/>
          <w:tblHeader/>
        </w:trPr>
        <w:tc>
          <w:tcPr>
            <w:tcW w:type="dxa" w:w="1843"/>
            <w:vAlign w:val="center"/>
            <w:tcMar>
              <w:top w:w="80" w:type="dxa"/>
              <w:bottom w:w="80" w:type="dxa"/>
              <w:left w:w="90" w:type="dxa"/>
              <w:right w:w="90" w:type="dxa"/>
            </w:tcMar>
            <w:tcBorders>
              <w:bottom w:val="single" w:sz="4" w:color="D7DCE0"/>
            </w:tcBorders>
            <w:shd w:fill="EEF1F3"/>
          </w:tcPr>
          <w:p>
            <w:pPr>
              <w:keepNext/>
              <w:spacing w:after="0" w:line="276" w:lineRule="auto"/>
            </w:pPr>
            <w:r>
              <w:rPr>
                <w:b/>
                <w:sz w:val="20"/>
              </w:rPr>
              <w:t>组件或实体</w:t>
            </w:r>
          </w:p>
        </w:tc>
        <w:tc>
          <w:tcPr>
            <w:tcW w:type="dxa" w:w="4493"/>
            <w:vAlign w:val="center"/>
            <w:tcMar>
              <w:top w:w="80" w:type="dxa"/>
              <w:bottom w:w="80" w:type="dxa"/>
              <w:left w:w="90" w:type="dxa"/>
              <w:right w:w="90" w:type="dxa"/>
            </w:tcMar>
            <w:tcBorders>
              <w:bottom w:val="single" w:sz="4" w:color="D7DCE0"/>
            </w:tcBorders>
            <w:shd w:fill="EEF1F3"/>
          </w:tcPr>
          <w:p>
            <w:pPr>
              <w:keepNext/>
              <w:spacing w:after="0" w:line="276" w:lineRule="auto"/>
            </w:pPr>
            <w:r>
              <w:rPr>
                <w:b/>
                <w:sz w:val="20"/>
              </w:rPr>
              <w:t>唯一职责</w:t>
            </w:r>
          </w:p>
        </w:tc>
        <w:tc>
          <w:tcPr>
            <w:tcW w:type="dxa" w:w="3888"/>
            <w:vAlign w:val="center"/>
            <w:tcMar>
              <w:top w:w="80" w:type="dxa"/>
              <w:bottom w:w="80" w:type="dxa"/>
              <w:left w:w="90" w:type="dxa"/>
              <w:right w:w="90" w:type="dxa"/>
            </w:tcMar>
            <w:tcBorders>
              <w:bottom w:val="single" w:sz="4" w:color="D7DCE0"/>
            </w:tcBorders>
            <w:shd w:fill="EEF1F3"/>
          </w:tcPr>
          <w:p>
            <w:pPr>
              <w:keepNext/>
              <w:spacing w:after="0" w:line="276" w:lineRule="auto"/>
            </w:pPr>
            <w:r>
              <w:rPr>
                <w:b/>
                <w:sz w:val="20"/>
              </w:rPr>
              <w:t>不负责的内容</w:t>
            </w:r>
          </w:p>
        </w:tc>
      </w:tr>
      <w:tr>
        <w:trPr>
          <w:cantSplit/>
        </w:trPr>
        <w:tc>
          <w:tcPr>
            <w:tcW w:type="dxa" w:w="1843"/>
            <w:vAlign w:val="center"/>
            <w:tcMar>
              <w:top w:w="80" w:type="dxa"/>
              <w:bottom w:w="80" w:type="dxa"/>
              <w:left w:w="90" w:type="dxa"/>
              <w:right w:w="90" w:type="dxa"/>
            </w:tcMar>
            <w:tcBorders>
              <w:bottom w:val="single" w:sz="4" w:color="D7DCE0"/>
            </w:tcBorders>
          </w:tcPr>
          <w:p>
            <w:pPr>
              <w:keepNext w:val="0"/>
              <w:spacing w:after="0" w:line="276" w:lineRule="auto"/>
            </w:pPr>
            <w:r>
              <w:rPr>
                <w:sz w:val="20"/>
              </w:rPr>
              <w:t>Celery Beat</w:t>
            </w:r>
          </w:p>
        </w:tc>
        <w:tc>
          <w:tcPr>
            <w:tcW w:type="dxa" w:w="4493"/>
            <w:vAlign w:val="center"/>
            <w:tcMar>
              <w:top w:w="80" w:type="dxa"/>
              <w:bottom w:w="80" w:type="dxa"/>
              <w:left w:w="90" w:type="dxa"/>
              <w:right w:w="90" w:type="dxa"/>
            </w:tcMar>
            <w:tcBorders>
              <w:bottom w:val="single" w:sz="4" w:color="D7DCE0"/>
            </w:tcBorders>
          </w:tcPr>
          <w:p>
            <w:pPr>
              <w:keepNext w:val="0"/>
              <w:spacing w:after="0" w:line="276" w:lineRule="auto"/>
            </w:pPr>
            <w:r>
              <w:rPr>
                <w:sz w:val="20"/>
              </w:rPr>
              <w:t>周期唤醒调度检查、Outbox 投递和恢复检查</w:t>
            </w:r>
          </w:p>
        </w:tc>
        <w:tc>
          <w:tcPr>
            <w:tcW w:type="dxa" w:w="3888"/>
            <w:vAlign w:val="center"/>
            <w:tcMar>
              <w:top w:w="80" w:type="dxa"/>
              <w:bottom w:w="80" w:type="dxa"/>
              <w:left w:w="90" w:type="dxa"/>
              <w:right w:w="90" w:type="dxa"/>
            </w:tcMar>
            <w:tcBorders>
              <w:bottom w:val="single" w:sz="4" w:color="D7DCE0"/>
            </w:tcBorders>
          </w:tcPr>
          <w:p>
            <w:pPr>
              <w:keepNext w:val="0"/>
              <w:spacing w:after="0" w:line="276" w:lineRule="auto"/>
            </w:pPr>
            <w:r>
              <w:rPr>
                <w:sz w:val="20"/>
              </w:rPr>
              <w:t>不保存业务截止日或判断事件是否解决</w:t>
            </w:r>
          </w:p>
        </w:tc>
      </w:tr>
      <w:tr>
        <w:trPr>
          <w:cantSplit/>
        </w:trPr>
        <w:tc>
          <w:tcPr>
            <w:tcW w:type="dxa" w:w="1843"/>
            <w:vAlign w:val="center"/>
            <w:tcMar>
              <w:top w:w="80" w:type="dxa"/>
              <w:bottom w:w="80" w:type="dxa"/>
              <w:left w:w="90" w:type="dxa"/>
              <w:right w:w="90" w:type="dxa"/>
            </w:tcMar>
            <w:tcBorders>
              <w:bottom w:val="single" w:sz="4" w:color="D7DCE0"/>
            </w:tcBorders>
          </w:tcPr>
          <w:p>
            <w:pPr>
              <w:keepNext w:val="0"/>
              <w:spacing w:after="0" w:line="276" w:lineRule="auto"/>
            </w:pPr>
            <w:r>
              <w:rPr>
                <w:sz w:val="20"/>
              </w:rPr>
              <w:t>Job 与 Outbox</w:t>
            </w:r>
          </w:p>
        </w:tc>
        <w:tc>
          <w:tcPr>
            <w:tcW w:type="dxa" w:w="4493"/>
            <w:vAlign w:val="center"/>
            <w:tcMar>
              <w:top w:w="80" w:type="dxa"/>
              <w:bottom w:w="80" w:type="dxa"/>
              <w:left w:w="90" w:type="dxa"/>
              <w:right w:w="90" w:type="dxa"/>
            </w:tcMar>
            <w:tcBorders>
              <w:bottom w:val="single" w:sz="4" w:color="D7DCE0"/>
            </w:tcBorders>
          </w:tcPr>
          <w:p>
            <w:pPr>
              <w:keepNext w:val="0"/>
              <w:spacing w:after="0" w:line="276" w:lineRule="auto"/>
            </w:pPr>
            <w:r>
              <w:rPr>
                <w:sz w:val="20"/>
              </w:rPr>
              <w:t>保存待执行工作、投递状态、租约、尝试次数及下次运行时间</w:t>
            </w:r>
          </w:p>
        </w:tc>
        <w:tc>
          <w:tcPr>
            <w:tcW w:type="dxa" w:w="3888"/>
            <w:vAlign w:val="center"/>
            <w:tcMar>
              <w:top w:w="80" w:type="dxa"/>
              <w:bottom w:w="80" w:type="dxa"/>
              <w:left w:w="90" w:type="dxa"/>
              <w:right w:w="90" w:type="dxa"/>
            </w:tcMar>
            <w:tcBorders>
              <w:bottom w:val="single" w:sz="4" w:color="D7DCE0"/>
            </w:tcBorders>
          </w:tcPr>
          <w:p>
            <w:pPr>
              <w:keepNext w:val="0"/>
              <w:spacing w:after="0" w:line="276" w:lineRule="auto"/>
            </w:pPr>
            <w:r>
              <w:rPr>
                <w:sz w:val="20"/>
              </w:rPr>
              <w:t>不复制事件处理状态</w:t>
            </w:r>
          </w:p>
        </w:tc>
      </w:tr>
      <w:tr>
        <w:trPr>
          <w:cantSplit/>
        </w:trPr>
        <w:tc>
          <w:tcPr>
            <w:tcW w:type="dxa" w:w="1843"/>
            <w:vAlign w:val="center"/>
            <w:tcMar>
              <w:top w:w="80" w:type="dxa"/>
              <w:bottom w:w="80" w:type="dxa"/>
              <w:left w:w="90" w:type="dxa"/>
              <w:right w:w="90" w:type="dxa"/>
            </w:tcMar>
            <w:tcBorders>
              <w:bottom w:val="single" w:sz="4" w:color="D7DCE0"/>
            </w:tcBorders>
          </w:tcPr>
          <w:p>
            <w:pPr>
              <w:keepNext w:val="0"/>
              <w:spacing w:after="0" w:line="276" w:lineRule="auto"/>
            </w:pPr>
            <w:r>
              <w:rPr>
                <w:sz w:val="20"/>
              </w:rPr>
              <w:t>Celery 与 Redis</w:t>
            </w:r>
          </w:p>
        </w:tc>
        <w:tc>
          <w:tcPr>
            <w:tcW w:type="dxa" w:w="4493"/>
            <w:vAlign w:val="center"/>
            <w:tcMar>
              <w:top w:w="80" w:type="dxa"/>
              <w:bottom w:w="80" w:type="dxa"/>
              <w:left w:w="90" w:type="dxa"/>
              <w:right w:w="90" w:type="dxa"/>
            </w:tcMar>
            <w:tcBorders>
              <w:bottom w:val="single" w:sz="4" w:color="D7DCE0"/>
            </w:tcBorders>
          </w:tcPr>
          <w:p>
            <w:pPr>
              <w:keepNext w:val="0"/>
              <w:spacing w:after="0" w:line="276" w:lineRule="auto"/>
            </w:pPr>
            <w:r>
              <w:rPr>
                <w:sz w:val="20"/>
              </w:rPr>
              <w:t>传递 job_id，把任务交给可用工作进程</w:t>
            </w:r>
          </w:p>
        </w:tc>
        <w:tc>
          <w:tcPr>
            <w:tcW w:type="dxa" w:w="3888"/>
            <w:vAlign w:val="center"/>
            <w:tcMar>
              <w:top w:w="80" w:type="dxa"/>
              <w:bottom w:w="80" w:type="dxa"/>
              <w:left w:w="90" w:type="dxa"/>
              <w:right w:w="90" w:type="dxa"/>
            </w:tcMar>
            <w:tcBorders>
              <w:bottom w:val="single" w:sz="4" w:color="D7DCE0"/>
            </w:tcBorders>
          </w:tcPr>
          <w:p>
            <w:pPr>
              <w:keepNext w:val="0"/>
              <w:spacing w:after="0" w:line="276" w:lineRule="auto"/>
            </w:pPr>
            <w:r>
              <w:rPr>
                <w:sz w:val="20"/>
              </w:rPr>
              <w:t>不作为唯一进度库，不保存权威业务结果</w:t>
            </w:r>
          </w:p>
        </w:tc>
      </w:tr>
      <w:tr>
        <w:trPr>
          <w:cantSplit/>
        </w:trPr>
        <w:tc>
          <w:tcPr>
            <w:tcW w:type="dxa" w:w="1843"/>
            <w:vAlign w:val="center"/>
            <w:tcMar>
              <w:top w:w="80" w:type="dxa"/>
              <w:bottom w:w="80" w:type="dxa"/>
              <w:left w:w="90" w:type="dxa"/>
              <w:right w:w="90" w:type="dxa"/>
            </w:tcMar>
            <w:tcBorders>
              <w:bottom w:val="single" w:sz="4" w:color="D7DCE0"/>
            </w:tcBorders>
          </w:tcPr>
          <w:p>
            <w:pPr>
              <w:keepNext w:val="0"/>
              <w:spacing w:after="0" w:line="276" w:lineRule="auto"/>
            </w:pPr>
            <w:r>
              <w:rPr>
                <w:sz w:val="20"/>
              </w:rPr>
              <w:t>CalculationRun 与 StepResult</w:t>
            </w:r>
          </w:p>
        </w:tc>
        <w:tc>
          <w:tcPr>
            <w:tcW w:type="dxa" w:w="4493"/>
            <w:vAlign w:val="center"/>
            <w:tcMar>
              <w:top w:w="80" w:type="dxa"/>
              <w:bottom w:w="80" w:type="dxa"/>
              <w:left w:w="90" w:type="dxa"/>
              <w:right w:w="90" w:type="dxa"/>
            </w:tcMar>
            <w:tcBorders>
              <w:bottom w:val="single" w:sz="4" w:color="D7DCE0"/>
            </w:tcBorders>
          </w:tcPr>
          <w:p>
            <w:pPr>
              <w:keepNext w:val="0"/>
              <w:spacing w:after="0" w:line="276" w:lineRule="auto"/>
            </w:pPr>
            <w:r>
              <w:rPr>
                <w:sz w:val="20"/>
              </w:rPr>
              <w:t>L1 固定输入快照、步骤输出引用、完成进度及校验摘要</w:t>
            </w:r>
          </w:p>
        </w:tc>
        <w:tc>
          <w:tcPr>
            <w:tcW w:type="dxa" w:w="3888"/>
            <w:vAlign w:val="center"/>
            <w:tcMar>
              <w:top w:w="80" w:type="dxa"/>
              <w:bottom w:w="80" w:type="dxa"/>
              <w:left w:w="90" w:type="dxa"/>
              <w:right w:w="90" w:type="dxa"/>
            </w:tcMar>
            <w:tcBorders>
              <w:bottom w:val="single" w:sz="4" w:color="D7DCE0"/>
            </w:tcBorders>
          </w:tcPr>
          <w:p>
            <w:pPr>
              <w:keepNext w:val="0"/>
              <w:spacing w:after="0" w:line="276" w:lineRule="auto"/>
            </w:pPr>
            <w:r>
              <w:rPr>
                <w:sz w:val="20"/>
              </w:rPr>
              <w:t>不驱动 L2 图恢复</w:t>
            </w:r>
          </w:p>
        </w:tc>
      </w:tr>
      <w:tr>
        <w:trPr>
          <w:cantSplit/>
        </w:trPr>
        <w:tc>
          <w:tcPr>
            <w:tcW w:type="dxa" w:w="1843"/>
            <w:vAlign w:val="center"/>
            <w:tcMar>
              <w:top w:w="80" w:type="dxa"/>
              <w:bottom w:w="80" w:type="dxa"/>
              <w:left w:w="90" w:type="dxa"/>
              <w:right w:w="90" w:type="dxa"/>
            </w:tcMar>
            <w:tcBorders>
              <w:bottom w:val="single" w:sz="4" w:color="D7DCE0"/>
            </w:tcBorders>
          </w:tcPr>
          <w:p>
            <w:pPr>
              <w:keepNext w:val="0"/>
              <w:spacing w:after="0" w:line="276" w:lineRule="auto"/>
            </w:pPr>
            <w:r>
              <w:rPr>
                <w:sz w:val="20"/>
              </w:rPr>
              <w:t>InvestigationRun 与图 checkpoint</w:t>
            </w:r>
          </w:p>
        </w:tc>
        <w:tc>
          <w:tcPr>
            <w:tcW w:type="dxa" w:w="4493"/>
            <w:vAlign w:val="center"/>
            <w:tcMar>
              <w:top w:w="80" w:type="dxa"/>
              <w:bottom w:w="80" w:type="dxa"/>
              <w:left w:w="90" w:type="dxa"/>
              <w:right w:w="90" w:type="dxa"/>
            </w:tcMar>
            <w:tcBorders>
              <w:bottom w:val="single" w:sz="4" w:color="D7DCE0"/>
            </w:tcBorders>
          </w:tcPr>
          <w:p>
            <w:pPr>
              <w:keepNext w:val="0"/>
              <w:spacing w:after="0" w:line="276" w:lineRule="auto"/>
            </w:pPr>
            <w:r>
              <w:rPr>
                <w:sz w:val="20"/>
              </w:rPr>
              <w:t>L2 调查范围、执行状态和图内恢复位置</w:t>
            </w:r>
          </w:p>
        </w:tc>
        <w:tc>
          <w:tcPr>
            <w:tcW w:type="dxa" w:w="3888"/>
            <w:vAlign w:val="center"/>
            <w:tcMar>
              <w:top w:w="80" w:type="dxa"/>
              <w:bottom w:w="80" w:type="dxa"/>
              <w:left w:w="90" w:type="dxa"/>
              <w:right w:w="90" w:type="dxa"/>
            </w:tcMar>
            <w:tcBorders>
              <w:bottom w:val="single" w:sz="4" w:color="D7DCE0"/>
            </w:tcBorders>
          </w:tcPr>
          <w:p>
            <w:pPr>
              <w:keepNext w:val="0"/>
              <w:spacing w:after="0" w:line="276" w:lineRule="auto"/>
            </w:pPr>
            <w:r>
              <w:rPr>
                <w:sz w:val="20"/>
              </w:rPr>
              <w:t>Job 只负责运行级调度；预算和命令回执以数据库账本为准</w:t>
            </w:r>
          </w:p>
        </w:tc>
      </w:tr>
      <w:tr>
        <w:trPr>
          <w:cantSplit/>
        </w:trPr>
        <w:tc>
          <w:tcPr>
            <w:tcW w:type="dxa" w:w="1843"/>
            <w:vAlign w:val="center"/>
            <w:tcMar>
              <w:top w:w="80" w:type="dxa"/>
              <w:bottom w:w="80" w:type="dxa"/>
              <w:left w:w="90" w:type="dxa"/>
              <w:right w:w="90" w:type="dxa"/>
            </w:tcMar>
            <w:tcBorders>
              <w:bottom w:val="single" w:sz="4" w:color="D7DCE0"/>
            </w:tcBorders>
          </w:tcPr>
          <w:p>
            <w:pPr>
              <w:keepNext w:val="0"/>
              <w:spacing w:after="0" w:line="276" w:lineRule="auto"/>
            </w:pPr>
            <w:r>
              <w:rPr>
                <w:sz w:val="20"/>
              </w:rPr>
              <w:t>Incident 与 Action</w:t>
            </w:r>
          </w:p>
        </w:tc>
        <w:tc>
          <w:tcPr>
            <w:tcW w:type="dxa" w:w="4493"/>
            <w:vAlign w:val="center"/>
            <w:tcMar>
              <w:top w:w="80" w:type="dxa"/>
              <w:bottom w:w="80" w:type="dxa"/>
              <w:left w:w="90" w:type="dxa"/>
              <w:right w:w="90" w:type="dxa"/>
            </w:tcMar>
            <w:tcBorders>
              <w:bottom w:val="single" w:sz="4" w:color="D7DCE0"/>
            </w:tcBorders>
          </w:tcPr>
          <w:p>
            <w:pPr>
              <w:keepNext w:val="0"/>
              <w:spacing w:after="0" w:line="276" w:lineRule="auto"/>
            </w:pPr>
            <w:r>
              <w:rPr>
                <w:sz w:val="20"/>
              </w:rPr>
              <w:t>保存事件、负责人、动作及复查的业务事实</w:t>
            </w:r>
          </w:p>
        </w:tc>
        <w:tc>
          <w:tcPr>
            <w:tcW w:type="dxa" w:w="3888"/>
            <w:vAlign w:val="center"/>
            <w:tcMar>
              <w:top w:w="80" w:type="dxa"/>
              <w:bottom w:w="80" w:type="dxa"/>
              <w:left w:w="90" w:type="dxa"/>
              <w:right w:w="90" w:type="dxa"/>
            </w:tcMar>
            <w:tcBorders>
              <w:bottom w:val="single" w:sz="4" w:color="D7DCE0"/>
            </w:tcBorders>
          </w:tcPr>
          <w:p>
            <w:pPr>
              <w:keepNext w:val="0"/>
              <w:spacing w:after="0" w:line="276" w:lineRule="auto"/>
            </w:pPr>
            <w:r>
              <w:rPr>
                <w:sz w:val="20"/>
              </w:rPr>
              <w:t>不以 Celery SUCCESS 代替完成或解决</w:t>
            </w:r>
          </w:p>
        </w:tc>
      </w:tr>
    </w:tbl>
    <w:p>
      <w:pPr>
        <w:spacing w:after="20" w:before="0" w:line="240" w:lineRule="auto"/>
      </w:pPr>
      <w:r>
        <w:rPr>
          <w:sz w:val="4"/>
        </w:rPr>
      </w:r>
    </w:p>
    <w:p>
      <w:r>
        <w:t>Beat 每分钟检查工作区计划与到期复查，按计划时间唯一键写 Job；Outbox 投递任务同样由 Beat 唤醒。长周期计划保存在业务数据库，不使用 Redis 的长时间 ETA 消息。所有任务仅传 ID，工作进程领取租约后从数据库加载输入和授权。</w:t>
      </w:r>
    </w:p>
    <w:p>
      <w:r>
        <w:t>普通任务基础配置建议 acks_late=true、worker_prefetch_multiplier=1、task_ignore_result=true，序列化仅允许 JSON，不使用 Celery result backend 作为业务进度。Redis visibility timeout 建议 1 小时，普通任务分片目标小于 5 分钟、硬超时初始值 10 分钟；整轮扫描可由多个分片组成。上述为运行配置初值，需故障测试调整，visibility timeout 不是执行锁。</w:t>
      </w:r>
    </w:p>
    <w:p>
      <w:r>
        <w:t>采用 DB 任务恢复器统一决定是否重跑：默认不启用业务任务的 Celery autoretry，也不在 HTTP 客户端外再叠加通用重试装饰器。临时执行失败记录 retry_wait、next_run_at 和错误码，恢复器到期重新写 Outbox；普通任务初始最多 3 次执行尝试，超过后进入 failed，人工重跑创建有链接的新尝试记录。</w:t>
      </w:r>
    </w:p>
    <w:p>
      <w:r>
        <w:t>模型调用是唯一单独预算：每个 request_key 最多两次网络尝试，即需求中的 30 秒超时加一次重试。尝试次数、输入摘要和有效返回都持久化，外层任务重启不能重置预算。发送前崩溃可能消耗一次预算；请求已发送但未保存返回时，供应商若不支持幂等请求，无法保证不重复计费，超出剩余预算则降级，不能无限补发。标准报告的模型业务失败降级为模板；L2 失败记录 partial/failed 及已有证据，不把 L1 降级报告冒称自主调查完成，均不抛给外层无限重算。</w:t>
      </w:r>
    </w:p>
    <w:p>
      <w:r>
        <w:t>每次领取 Job 增加租约代数；写 StepResult、发布报告及修改事件时，在短事务中核验租约代数和有效期。已失效旧进程不得发布任何副作用。StepResult 的唯一键为 run_id、step_name、input_hash，完成结果可复用；外部模型结果不假设可重复生成。发布报告、关联事件、写审计和提醒 Outbox 在同一事务中提交，唯一 publication_key 防止重复发布。</w:t>
      </w:r>
    </w:p>
    <w:p>
      <w:r>
        <w:t>Redis 消息丢失后，恢复器扫描超时未开始或租约过期的 Job 补投；重复消息遇到有效租约或已完成结果直接退出。恢复器也使用数据库锁和唯一键，不能由多个检查任务同时增加重试次数。普通扫描、语义任务和安全任务分队列；安全保留独立工作进程。</w:t>
      </w:r>
    </w:p>
    <w:p>
      <w:pPr>
        <w:pStyle w:val="Heading2"/>
      </w:pPr>
      <w:r>
        <w:t>11.5 数据库文件与计算落地</w:t>
      </w:r>
    </w:p>
    <w:p>
      <w:r>
        <w:t>PostgreSQL 是唯一业务事实库。主键采用稳定 UUID，导入及事实业务键按来源、店铺、对象、粒度建立唯一约束；允许为空的 SKU 和履约字段需规范化或采用明确的空值唯一策略，避免 SQL 默认空值行为绕过去重。映射有效期不得重叠，开放事件约束按状态建立部分唯一索引。</w:t>
      </w:r>
    </w:p>
    <w:p>
      <w:r>
        <w:t>常用查询索引从授权范围开始，追加对象、业务日期或状态；任务索引覆盖 status 与 next_run_at；原行引用覆盖 import_id 与 row_number；版本查询覆盖 business_key 与 revision。初始不分区、不分库，先用 EXPLAIN ANALYZE 和压测确认慢点，再决定必要索引，禁止按每个字段盲目建索引。</w:t>
      </w:r>
    </w:p>
    <w:p>
      <w:r>
        <w:t>CSV 使用流式解析和分块暂存，建议每块 5,000 行作为测试起点，不把整份报表及历史事实载入 Python 内存。文件先放在非公开路径，哈希完成后写内容寻址的不可变文件；同一物理文件复用不改变按来源及店铺独立授权。大聚合在 SQL 完成，统计函数只读取必要的分子分母或受控样本。计算结果使用版本键缓存到 MetricSnapshot，缓存命中仍须检查权限。</w:t>
      </w:r>
    </w:p>
    <w:p>
      <w:r>
        <w:t>原文件、附件和导出通过 FileStore 接口访问，默认实现为服务器持久卷。备份使用 restic 加密复制到独立对象存储，数据库用一致性 pg_dump；通过 PostgreSQL 导出快照并让 pg_dump 与文件清单查询使用同一快照，确定必须备份的不可变文件；快照会话在导出结束前保持有效。备份期间暂停清理任务，核验清单中的每个哈希都存在。备份清单和数据库快照对应，不用随意复制运行中的数据库目录替代一致性备份。</w:t>
      </w:r>
    </w:p>
    <w:p>
      <w:pPr>
        <w:pStyle w:val="Heading2"/>
      </w:pPr>
      <w:r>
        <w:t>11.6 模型检索与成本控制</w:t>
      </w:r>
    </w:p>
    <w:p>
      <w:r>
        <w:t>模型适配器提供 classify_feedback、interpret_query、explain_evidence、decide_investigation 四个接口，输入输出均为受限 schema。HTTPX 统一管理连接池、连接及读写超时和响应大小，调用外层另设 30 秒总截止时间，不能把读超时当作整次请求时限；Pydantic strict 校验类型、枚举及禁止额外字段，业务校验再检查原文位置、证据 ID、对象范围和允许措辞。结构正确不代表事实正确，两层不能合并。</w:t>
      </w:r>
    </w:p>
    <w:p>
      <w:r>
        <w:t>建议使用托管云端文本模型，当前 8 核 16 GB 主机承担应用和数据库，不同时部署大模型推理。模型供应商、部署区域及真实数据传输权限仍需用户明确；这一未决项不能由框架选型代替。适配层不得假设所有服务的 OpenAI 兼容接口都支持同样的 schema、限流和用量字段，选定服务后用契约测试逐项核对。</w:t>
      </w:r>
    </w:p>
    <w:p>
      <w:r>
        <w:t>模型配置保存 provider、endpoint、model_id、可用模型修订标识、prompt_version、schema_version、参数和计价配置。只用模型别名且供应商会更换底层模型时，应标记版本不可完全固定；运行结果仍保存，不承诺相同提示重跑一定相同。默认不自动切换另一供应商，避免数据区域和标签口径未经确认就改变。</w:t>
      </w:r>
    </w:p>
    <w:p>
      <w:r>
        <w:t>单条反馈按原文有效长度分块，保持片段回到原文的位置映射；模型失败的片段使该条标注不完整，不计入有效趋势分母。分块大小随选定模型的上下文预算配置，长文本既不静默截断也不把多块当多条评论。解释只发送经过授权的事实摘要和有限证据片段，不传全店报表。</w:t>
      </w:r>
    </w:p>
    <w:p>
      <w:r>
        <w:t>成本按任务、模型、输入输出 token 和已知单价记录；用量缺失单列，不能当作零费用。首次标注成本估计为待处理文本数乘以抽样平均 token，再按真实报价计算；保存失败及重试成本。工作区设置日预算和最大并发，达到预算后暂停普通语义增强并提示，规则诊断继续，安全线索仍走规则及人工核查路径。</w:t>
      </w:r>
    </w:p>
    <w:p>
      <w:r>
        <w:t>检索先按授权对象、期间和标签过滤，再进行 PostgreSQL 全文检索。中文使用 jieba 及版本化产品词典，英文使用全文索引词干处理；中文 token 写入 simple 配置的检索字段，原文片段独立保存。精确 ASIN、SKU 和短语查询优先，短中文词用受范围限制的字面匹配补充。排序使用明确权重和稳定 ID，不将 PostgreSQL 默认排名冒称 BM25。</w:t>
      </w:r>
    </w:p>
    <w:p>
      <w:r>
        <w:t>通过固定中英文及同义表达测试验证 Recall@10。若分词和别名仍不达标，在冻结前提交 pgvector 混合检索的替代决策及模型成本评测；该分支要解决后才能冻结检索实现。当前不预装向量服务，也不把未来添加向量作为本次功能验收的免责条件。</w:t>
      </w:r>
    </w:p>
    <w:p>
      <w:pPr>
        <w:pStyle w:val="Heading2"/>
      </w:pPr>
      <w:r>
        <w:t>11.7 前端与接口协作</w:t>
      </w:r>
    </w:p>
    <w:p>
      <w:r>
        <w:t>React 实现五类业务页面，Ant Design 负责表格、表单、分页和状态交互，ECharts 展示时间窗及指标对比。React Router 管理页面路由；TanStack Query 管理服务端数据和任务轮询。筛选条件进入 URL，便于运营复现同一查询；店铺切换及退出登录清空对应缓存，不能短暂展示上个账号数据。</w:t>
      </w:r>
    </w:p>
    <w:p>
      <w:r>
        <w:t>权限由服务端最终决定，按钮隐藏仅用于交互提示。前端不重新计算退款率、显著性、原因排序或关闭条件；展示后端的版本化结果。动作提交带实体版本，遇到 409 展示最新记录及冲突内容，让用户重新确认，不能自动覆盖或默默重发。</w:t>
      </w:r>
    </w:p>
    <w:p>
      <w:r>
        <w:t>Django session 使用 HttpOnly Cookie，前端提交 CSRF token；同源部署不开宽泛 CORS，不把长期 JWT 放在 localStorage。初始请求采用分页，证据明细按需加载；任务轮询建议前台 5 秒、后台降频，完成或失败后停止。前后端共享 OpenAPI 契约及固定 mock，允许契约冻结后并行开发。</w:t>
      </w:r>
    </w:p>
    <w:p>
      <w:pPr>
        <w:pStyle w:val="Heading2"/>
      </w:pPr>
      <w:r>
        <w:t>11.8 单机部署与运行责任</w:t>
      </w:r>
    </w:p>
    <w:p>
      <w:r>
        <w:t>Docker Compose 管理 Caddy、API、普通 worker、语义 worker、安全 worker、Beat、PostgreSQL 和 Redis。Node 仅在构建阶段生成静态文件，生产不运行前端开发服务器。仅 Caddy 暴露 80/443，数据库和 Redis 只在内部网络可见；TLS 所需域名与证书配置由部署清单明确。</w:t>
      </w:r>
    </w:p>
    <w:p>
      <w:r>
        <w:t>建议初始资源预算为 PostgreSQL 4 GB、普通 worker 3 GB、语义及安全 worker 合计 2 GB、API 1.5 GB、Redis 0.5 GB，至少给系统、文件缓存及入口保留 3 GB，其余作余量。普通 worker 并发起点为 2，语义为 2，安全为 1，API 为 2 个进程；这些是负载验证起点，不是实测容量承诺。Redis 采用持久化及 noeviction，不与可随意淘汰的业务缓存共用策略。</w:t>
      </w:r>
    </w:p>
    <w:p>
      <w:r>
        <w:t>健康检查分存活与就绪：API 可查询数据库才就绪；Redis 故障显示任务延迟，普通只读报告仍可用；数据库不可用不接收业务写入。Beat 心跳超过 3 分钟、任务积压、磁盘占用超过 80%、备份超过 26 小时未成功生成运维异常记录；磁盘超过 90% 暂停新导入。这些运行阈值版本化，首次压测后确定正式值。</w:t>
      </w:r>
    </w:p>
    <w:p>
      <w:r>
        <w:t>JSON 结构日志输出到标准输出，Docker 配置日志轮转；应用页面显示任务及数据源异常，运行手册提供日志查询与服务恢复命令。无需先部署 Elasticsearch、完整监控集群或外部追踪平台。单机完全宕机时站内通知不可达，值守通过云平台已有主机告警和人工巡检处理；不把站内提示宣称成外部宕机通知。</w:t>
      </w:r>
    </w:p>
    <w:p>
      <w:r>
        <w:t>密钥通过只读 secret 文件注入并限制系统权限，不进入镜像、仓库和数据库明文配置。每次发布保存镜像 digest、迁移版本、规则及提示版本和依赖锁摘要。涉及字段删除或类型变化时先做兼容迁移；不可逆迁移的回退需要恢复窗口，不宣称回滚镜像就能回滚数据。</w:t>
      </w:r>
    </w:p>
    <w:p>
      <w:pPr>
        <w:pStyle w:val="Heading2"/>
      </w:pPr>
      <w:r>
        <w:t>11.9 测试工具与证据要求</w:t>
      </w:r>
    </w:p>
    <w:p>
      <w:r>
        <w:t>后端使用 pytest-django 连接真实 PostgreSQL，覆盖唯一约束、事务、权限及并发；不以 SQLite 替代验收数据库。Hypothesis 验证金额合计、重复导入幂等、计数界限和时间窗等不变量，已知答案案例验证 Wilson、Newcombe、Fisher 及 BH。数据库与 Redis 故障恢复测试必须运行真实 Celery worker，不能只用 eager 模式。</w:t>
      </w:r>
    </w:p>
    <w:p>
      <w:r>
        <w:t>前端用 Vitest 与 Testing Library 验证错误、空态及冲突交互，Playwright 验证导入到关闭的完整链路和跨账号访问。Locust 在目标机器验证 10 人并发、导入期间读取、已有标签的全量扫描及百万记录压力档位；报告 CPU、内存、磁盘、数据库连接和队列等待，不能只报告平均响应。</w:t>
      </w:r>
    </w:p>
    <w:p>
      <w:r>
        <w:t>模型评测用受版本控制的独立脚本和金标数据，记录原始输出、schema 失败、语义分数、严重安全漏检及成本。数据库事实引用和证据约束独立验收，不让模型自评是否正确。采用 pytest 与数据文件即可，不强制 LangSmith 或其他云评测服务。</w:t>
      </w:r>
    </w:p>
    <w:p>
      <w:r>
        <w:t>CI 至少执行锁文件安装、后端静态检查及测试、OpenAPI 差异、前端类型与组件测试、容器构建和关键 E2E。代码托管平台未指定时，用仓库内同一命令脚本承载检查，不先绑定 GitHub Actions；具体平台确定后挂接这些命令即可。依赖漏洞与许可证检查发现问题需记录处理结论，不能忽略后继续冻结镜像。</w:t>
      </w:r>
    </w:p>
    <w:p>
      <w:pPr>
        <w:pStyle w:val="Heading2"/>
      </w:pPr>
      <w:r>
        <w:t>11.10 版本冻结与验证清单</w:t>
      </w:r>
    </w:p>
    <w:p>
      <w:r>
        <w:t>技术方案与验证结果分开记录。主体架构确认后已进入实施，依赖锁定、数据库迁移、前端构建及部分前后端流程已验证，详见阶段验收记录。下表仍是完整验证要求，不代表全部通过；真实模型、容量及故障恢复验证尚未完成。兼容及风险验证、版本冻结属于同一次完整交付。</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1843"/>
        <w:gridCol w:w="4493"/>
        <w:gridCol w:w="3888"/>
      </w:tblGrid>
      <w:tr>
        <w:trPr>
          <w:cantSplit/>
          <w:tblHeader/>
        </w:trPr>
        <w:tc>
          <w:tcPr>
            <w:tcW w:type="dxa" w:w="1843"/>
            <w:vAlign w:val="center"/>
            <w:tcMar>
              <w:top w:w="80" w:type="dxa"/>
              <w:bottom w:w="80" w:type="dxa"/>
              <w:left w:w="90" w:type="dxa"/>
              <w:right w:w="90" w:type="dxa"/>
            </w:tcMar>
            <w:tcBorders>
              <w:bottom w:val="single" w:sz="4" w:color="D7DCE0"/>
            </w:tcBorders>
            <w:shd w:fill="EEF1F3"/>
          </w:tcPr>
          <w:p>
            <w:pPr>
              <w:keepNext/>
              <w:spacing w:after="0" w:line="276" w:lineRule="auto"/>
            </w:pPr>
            <w:r>
              <w:rPr>
                <w:b/>
                <w:sz w:val="20"/>
              </w:rPr>
              <w:t>验证项</w:t>
            </w:r>
          </w:p>
        </w:tc>
        <w:tc>
          <w:tcPr>
            <w:tcW w:type="dxa" w:w="4493"/>
            <w:vAlign w:val="center"/>
            <w:tcMar>
              <w:top w:w="80" w:type="dxa"/>
              <w:bottom w:w="80" w:type="dxa"/>
              <w:left w:w="90" w:type="dxa"/>
              <w:right w:w="90" w:type="dxa"/>
            </w:tcMar>
            <w:tcBorders>
              <w:bottom w:val="single" w:sz="4" w:color="D7DCE0"/>
            </w:tcBorders>
            <w:shd w:fill="EEF1F3"/>
          </w:tcPr>
          <w:p>
            <w:pPr>
              <w:keepNext/>
              <w:spacing w:after="0" w:line="276" w:lineRule="auto"/>
            </w:pPr>
            <w:r>
              <w:rPr>
                <w:b/>
                <w:sz w:val="20"/>
              </w:rPr>
              <w:t>明确产物与通过条件</w:t>
            </w:r>
          </w:p>
        </w:tc>
        <w:tc>
          <w:tcPr>
            <w:tcW w:type="dxa" w:w="3888"/>
            <w:vAlign w:val="center"/>
            <w:tcMar>
              <w:top w:w="80" w:type="dxa"/>
              <w:bottom w:w="80" w:type="dxa"/>
              <w:left w:w="90" w:type="dxa"/>
              <w:right w:w="90" w:type="dxa"/>
            </w:tcMar>
            <w:tcBorders>
              <w:bottom w:val="single" w:sz="4" w:color="D7DCE0"/>
            </w:tcBorders>
            <w:shd w:fill="EEF1F3"/>
          </w:tcPr>
          <w:p>
            <w:pPr>
              <w:keepNext/>
              <w:spacing w:after="0" w:line="276" w:lineRule="auto"/>
            </w:pPr>
            <w:r>
              <w:rPr>
                <w:b/>
                <w:sz w:val="20"/>
              </w:rPr>
              <w:t>失败时处理</w:t>
            </w:r>
          </w:p>
        </w:tc>
      </w:tr>
      <w:tr>
        <w:trPr>
          <w:cantSplit/>
        </w:trPr>
        <w:tc>
          <w:tcPr>
            <w:tcW w:type="dxa" w:w="1843"/>
            <w:vAlign w:val="center"/>
            <w:tcMar>
              <w:top w:w="80" w:type="dxa"/>
              <w:bottom w:w="80" w:type="dxa"/>
              <w:left w:w="90" w:type="dxa"/>
              <w:right w:w="90" w:type="dxa"/>
            </w:tcMar>
            <w:tcBorders>
              <w:bottom w:val="single" w:sz="4" w:color="D7DCE0"/>
            </w:tcBorders>
          </w:tcPr>
          <w:p>
            <w:pPr>
              <w:keepNext w:val="0"/>
              <w:spacing w:after="0" w:line="276" w:lineRule="auto"/>
            </w:pPr>
            <w:r>
              <w:rPr>
                <w:sz w:val="20"/>
              </w:rPr>
              <w:t>依赖与镜像</w:t>
            </w:r>
          </w:p>
        </w:tc>
        <w:tc>
          <w:tcPr>
            <w:tcW w:type="dxa" w:w="4493"/>
            <w:vAlign w:val="center"/>
            <w:tcMar>
              <w:top w:w="80" w:type="dxa"/>
              <w:bottom w:w="80" w:type="dxa"/>
              <w:left w:w="90" w:type="dxa"/>
              <w:right w:w="90" w:type="dxa"/>
            </w:tcMar>
            <w:tcBorders>
              <w:bottom w:val="single" w:sz="4" w:color="D7DCE0"/>
            </w:tcBorders>
          </w:tcPr>
          <w:p>
            <w:pPr>
              <w:keepNext w:val="0"/>
              <w:spacing w:after="0" w:line="276" w:lineRule="auto"/>
            </w:pPr>
            <w:r>
              <w:rPr>
                <w:sz w:val="20"/>
              </w:rPr>
              <w:t>uv.lock、pnpm-lock.yaml、镜像 digest、组件版本及许可证清单；干净环境可重复安装</w:t>
            </w:r>
          </w:p>
        </w:tc>
        <w:tc>
          <w:tcPr>
            <w:tcW w:type="dxa" w:w="3888"/>
            <w:vAlign w:val="center"/>
            <w:tcMar>
              <w:top w:w="80" w:type="dxa"/>
              <w:bottom w:w="80" w:type="dxa"/>
              <w:left w:w="90" w:type="dxa"/>
              <w:right w:w="90" w:type="dxa"/>
            </w:tcMar>
            <w:tcBorders>
              <w:bottom w:val="single" w:sz="4" w:color="D7DCE0"/>
            </w:tcBorders>
          </w:tcPr>
          <w:p>
            <w:pPr>
              <w:keepNext w:val="0"/>
              <w:spacing w:after="0" w:line="276" w:lineRule="auto"/>
            </w:pPr>
            <w:r>
              <w:rPr>
                <w:sz w:val="20"/>
              </w:rPr>
              <w:t>选择兼容受支持版本，记录差异，不降低业务要求</w:t>
            </w:r>
          </w:p>
        </w:tc>
      </w:tr>
      <w:tr>
        <w:trPr>
          <w:cantSplit/>
        </w:trPr>
        <w:tc>
          <w:tcPr>
            <w:tcW w:type="dxa" w:w="1843"/>
            <w:vAlign w:val="center"/>
            <w:tcMar>
              <w:top w:w="80" w:type="dxa"/>
              <w:bottom w:w="80" w:type="dxa"/>
              <w:left w:w="90" w:type="dxa"/>
              <w:right w:w="90" w:type="dxa"/>
            </w:tcMar>
            <w:tcBorders>
              <w:bottom w:val="single" w:sz="4" w:color="D7DCE0"/>
            </w:tcBorders>
          </w:tcPr>
          <w:p>
            <w:pPr>
              <w:keepNext w:val="0"/>
              <w:spacing w:after="0" w:line="276" w:lineRule="auto"/>
            </w:pPr>
            <w:r>
              <w:rPr>
                <w:sz w:val="20"/>
              </w:rPr>
              <w:t>Django 与数据库</w:t>
            </w:r>
          </w:p>
        </w:tc>
        <w:tc>
          <w:tcPr>
            <w:tcW w:type="dxa" w:w="4493"/>
            <w:vAlign w:val="center"/>
            <w:tcMar>
              <w:top w:w="80" w:type="dxa"/>
              <w:bottom w:w="80" w:type="dxa"/>
              <w:left w:w="90" w:type="dxa"/>
              <w:right w:w="90" w:type="dxa"/>
            </w:tcMar>
            <w:tcBorders>
              <w:bottom w:val="single" w:sz="4" w:color="D7DCE0"/>
            </w:tcBorders>
          </w:tcPr>
          <w:p>
            <w:pPr>
              <w:keepNext w:val="0"/>
              <w:spacing w:after="0" w:line="276" w:lineRule="auto"/>
            </w:pPr>
            <w:r>
              <w:rPr>
                <w:sz w:val="20"/>
              </w:rPr>
              <w:t>Django 5.2、Python 3.13、DRF、psycopg 与 PG18 的迁移、事务、COPY 和 API 冒烟通过</w:t>
            </w:r>
          </w:p>
        </w:tc>
        <w:tc>
          <w:tcPr>
            <w:tcW w:type="dxa" w:w="3888"/>
            <w:vAlign w:val="center"/>
            <w:tcMar>
              <w:top w:w="80" w:type="dxa"/>
              <w:bottom w:w="80" w:type="dxa"/>
              <w:left w:w="90" w:type="dxa"/>
              <w:right w:w="90" w:type="dxa"/>
            </w:tcMar>
            <w:tcBorders>
              <w:bottom w:val="single" w:sz="4" w:color="D7DCE0"/>
            </w:tcBorders>
          </w:tcPr>
          <w:p>
            <w:pPr>
              <w:keepNext w:val="0"/>
              <w:spacing w:after="0" w:line="276" w:lineRule="auto"/>
            </w:pPr>
            <w:r>
              <w:rPr>
                <w:sz w:val="20"/>
              </w:rPr>
              <w:t>调整兼容版本；系列变更更新技术决策</w:t>
            </w:r>
          </w:p>
        </w:tc>
      </w:tr>
      <w:tr>
        <w:trPr>
          <w:cantSplit/>
        </w:trPr>
        <w:tc>
          <w:tcPr>
            <w:tcW w:type="dxa" w:w="1843"/>
            <w:vAlign w:val="center"/>
            <w:tcMar>
              <w:top w:w="80" w:type="dxa"/>
              <w:bottom w:w="80" w:type="dxa"/>
              <w:left w:w="90" w:type="dxa"/>
              <w:right w:w="90" w:type="dxa"/>
            </w:tcMar>
            <w:tcBorders>
              <w:bottom w:val="single" w:sz="4" w:color="D7DCE0"/>
            </w:tcBorders>
          </w:tcPr>
          <w:p>
            <w:pPr>
              <w:keepNext w:val="0"/>
              <w:spacing w:after="0" w:line="276" w:lineRule="auto"/>
            </w:pPr>
            <w:r>
              <w:rPr>
                <w:sz w:val="20"/>
              </w:rPr>
              <w:t>前端组合</w:t>
            </w:r>
          </w:p>
        </w:tc>
        <w:tc>
          <w:tcPr>
            <w:tcW w:type="dxa" w:w="4493"/>
            <w:vAlign w:val="center"/>
            <w:tcMar>
              <w:top w:w="80" w:type="dxa"/>
              <w:bottom w:w="80" w:type="dxa"/>
              <w:left w:w="90" w:type="dxa"/>
              <w:right w:w="90" w:type="dxa"/>
            </w:tcMar>
            <w:tcBorders>
              <w:bottom w:val="single" w:sz="4" w:color="D7DCE0"/>
            </w:tcBorders>
          </w:tcPr>
          <w:p>
            <w:pPr>
              <w:keepNext w:val="0"/>
              <w:spacing w:after="0" w:line="276" w:lineRule="auto"/>
            </w:pPr>
            <w:r>
              <w:rPr>
                <w:sz w:val="20"/>
              </w:rPr>
              <w:t>React19、Ant Design6、Vite、Node24、类型生成、构建和主交互通过</w:t>
            </w:r>
          </w:p>
        </w:tc>
        <w:tc>
          <w:tcPr>
            <w:tcW w:type="dxa" w:w="3888"/>
            <w:vAlign w:val="center"/>
            <w:tcMar>
              <w:top w:w="80" w:type="dxa"/>
              <w:bottom w:w="80" w:type="dxa"/>
              <w:left w:w="90" w:type="dxa"/>
              <w:right w:w="90" w:type="dxa"/>
            </w:tcMar>
            <w:tcBorders>
              <w:bottom w:val="single" w:sz="4" w:color="D7DCE0"/>
            </w:tcBorders>
          </w:tcPr>
          <w:p>
            <w:pPr>
              <w:keepNext w:val="0"/>
              <w:spacing w:after="0" w:line="276" w:lineRule="auto"/>
            </w:pPr>
            <w:r>
              <w:rPr>
                <w:sz w:val="20"/>
              </w:rPr>
              <w:t>解决 peer dependency 或构建问题再锁版本</w:t>
            </w:r>
          </w:p>
        </w:tc>
      </w:tr>
      <w:tr>
        <w:trPr>
          <w:cantSplit/>
        </w:trPr>
        <w:tc>
          <w:tcPr>
            <w:tcW w:type="dxa" w:w="1843"/>
            <w:vAlign w:val="center"/>
            <w:tcMar>
              <w:top w:w="80" w:type="dxa"/>
              <w:bottom w:w="80" w:type="dxa"/>
              <w:left w:w="90" w:type="dxa"/>
              <w:right w:w="90" w:type="dxa"/>
            </w:tcMar>
            <w:tcBorders>
              <w:bottom w:val="single" w:sz="4" w:color="D7DCE0"/>
            </w:tcBorders>
          </w:tcPr>
          <w:p>
            <w:pPr>
              <w:keepNext w:val="0"/>
              <w:spacing w:after="0" w:line="276" w:lineRule="auto"/>
            </w:pPr>
            <w:r>
              <w:rPr>
                <w:sz w:val="20"/>
              </w:rPr>
              <w:t>执行恢复</w:t>
            </w:r>
          </w:p>
        </w:tc>
        <w:tc>
          <w:tcPr>
            <w:tcW w:type="dxa" w:w="4493"/>
            <w:vAlign w:val="center"/>
            <w:tcMar>
              <w:top w:w="80" w:type="dxa"/>
              <w:bottom w:w="80" w:type="dxa"/>
              <w:left w:w="90" w:type="dxa"/>
              <w:right w:w="90" w:type="dxa"/>
            </w:tcMar>
            <w:tcBorders>
              <w:bottom w:val="single" w:sz="4" w:color="D7DCE0"/>
            </w:tcBorders>
          </w:tcPr>
          <w:p>
            <w:pPr>
              <w:keepNext w:val="0"/>
              <w:spacing w:after="0" w:line="276" w:lineRule="auto"/>
            </w:pPr>
            <w:r>
              <w:rPr>
                <w:sz w:val="20"/>
              </w:rPr>
              <w:t>提交后丢消息、重复投递、worker 被杀、租约过期旧进程、Redis 重启及 LangGraph 写后恢复均不重复发布或创建任务</w:t>
            </w:r>
          </w:p>
        </w:tc>
        <w:tc>
          <w:tcPr>
            <w:tcW w:type="dxa" w:w="3888"/>
            <w:vAlign w:val="center"/>
            <w:tcMar>
              <w:top w:w="80" w:type="dxa"/>
              <w:bottom w:w="80" w:type="dxa"/>
              <w:left w:w="90" w:type="dxa"/>
              <w:right w:w="90" w:type="dxa"/>
            </w:tcMar>
            <w:tcBorders>
              <w:bottom w:val="single" w:sz="4" w:color="D7DCE0"/>
            </w:tcBorders>
          </w:tcPr>
          <w:p>
            <w:pPr>
              <w:keepNext w:val="0"/>
              <w:spacing w:after="0" w:line="276" w:lineRule="auto"/>
            </w:pPr>
            <w:r>
              <w:rPr>
                <w:sz w:val="20"/>
              </w:rPr>
              <w:t>修复任务事务及恢复器，不能靠增加重试次数掩盖</w:t>
            </w:r>
          </w:p>
        </w:tc>
      </w:tr>
      <w:tr>
        <w:trPr>
          <w:cantSplit/>
        </w:trPr>
        <w:tc>
          <w:tcPr>
            <w:tcW w:type="dxa" w:w="1843"/>
            <w:vAlign w:val="center"/>
            <w:tcMar>
              <w:top w:w="80" w:type="dxa"/>
              <w:bottom w:w="80" w:type="dxa"/>
              <w:left w:w="90" w:type="dxa"/>
              <w:right w:w="90" w:type="dxa"/>
            </w:tcMar>
            <w:tcBorders>
              <w:bottom w:val="single" w:sz="4" w:color="D7DCE0"/>
            </w:tcBorders>
          </w:tcPr>
          <w:p>
            <w:pPr>
              <w:keepNext w:val="0"/>
              <w:spacing w:after="0" w:line="276" w:lineRule="auto"/>
            </w:pPr>
            <w:r>
              <w:rPr>
                <w:sz w:val="20"/>
              </w:rPr>
              <w:t>数据与计算</w:t>
            </w:r>
          </w:p>
        </w:tc>
        <w:tc>
          <w:tcPr>
            <w:tcW w:type="dxa" w:w="4493"/>
            <w:vAlign w:val="center"/>
            <w:tcMar>
              <w:top w:w="80" w:type="dxa"/>
              <w:bottom w:w="80" w:type="dxa"/>
              <w:left w:w="90" w:type="dxa"/>
              <w:right w:w="90" w:type="dxa"/>
            </w:tcMar>
            <w:tcBorders>
              <w:bottom w:val="single" w:sz="4" w:color="D7DCE0"/>
            </w:tcBorders>
          </w:tcPr>
          <w:p>
            <w:pPr>
              <w:keepNext w:val="0"/>
              <w:spacing w:after="0" w:line="276" w:lineRule="auto"/>
            </w:pPr>
            <w:r>
              <w:rPr>
                <w:sz w:val="20"/>
              </w:rPr>
              <w:t>真实脱敏报表可证明身份、粒度和覆盖；AC 样本计算有明确预期</w:t>
            </w:r>
          </w:p>
        </w:tc>
        <w:tc>
          <w:tcPr>
            <w:tcW w:type="dxa" w:w="3888"/>
            <w:vAlign w:val="center"/>
            <w:tcMar>
              <w:top w:w="80" w:type="dxa"/>
              <w:bottom w:w="80" w:type="dxa"/>
              <w:left w:w="90" w:type="dxa"/>
              <w:right w:w="90" w:type="dxa"/>
            </w:tcMar>
            <w:tcBorders>
              <w:bottom w:val="single" w:sz="4" w:color="D7DCE0"/>
            </w:tcBorders>
          </w:tcPr>
          <w:p>
            <w:pPr>
              <w:keepNext w:val="0"/>
              <w:spacing w:after="0" w:line="276" w:lineRule="auto"/>
            </w:pPr>
            <w:r>
              <w:rPr>
                <w:sz w:val="20"/>
              </w:rPr>
              <w:t>明确不可用数据及降级，必要的业务口径变更交用户确认</w:t>
            </w:r>
          </w:p>
        </w:tc>
      </w:tr>
      <w:tr>
        <w:trPr>
          <w:cantSplit/>
        </w:trPr>
        <w:tc>
          <w:tcPr>
            <w:tcW w:type="dxa" w:w="1843"/>
            <w:vAlign w:val="center"/>
            <w:tcMar>
              <w:top w:w="80" w:type="dxa"/>
              <w:bottom w:w="80" w:type="dxa"/>
              <w:left w:w="90" w:type="dxa"/>
              <w:right w:w="90" w:type="dxa"/>
            </w:tcMar>
            <w:tcBorders>
              <w:bottom w:val="single" w:sz="4" w:color="D7DCE0"/>
            </w:tcBorders>
          </w:tcPr>
          <w:p>
            <w:pPr>
              <w:keepNext w:val="0"/>
              <w:spacing w:after="0" w:line="276" w:lineRule="auto"/>
            </w:pPr>
            <w:r>
              <w:rPr>
                <w:sz w:val="20"/>
              </w:rPr>
              <w:t>模型与检索</w:t>
            </w:r>
          </w:p>
        </w:tc>
        <w:tc>
          <w:tcPr>
            <w:tcW w:type="dxa" w:w="4493"/>
            <w:vAlign w:val="center"/>
            <w:tcMar>
              <w:top w:w="80" w:type="dxa"/>
              <w:bottom w:w="80" w:type="dxa"/>
              <w:left w:w="90" w:type="dxa"/>
              <w:right w:w="90" w:type="dxa"/>
            </w:tcMar>
            <w:tcBorders>
              <w:bottom w:val="single" w:sz="4" w:color="D7DCE0"/>
            </w:tcBorders>
          </w:tcPr>
          <w:p>
            <w:pPr>
              <w:keepNext w:val="0"/>
              <w:spacing w:after="0" w:line="276" w:lineRule="auto"/>
            </w:pPr>
            <w:r>
              <w:rPr>
                <w:sz w:val="20"/>
              </w:rPr>
              <w:t>指定服务及区域获确认，金标门槛达标，成本与时延有记录</w:t>
            </w:r>
          </w:p>
        </w:tc>
        <w:tc>
          <w:tcPr>
            <w:tcW w:type="dxa" w:w="3888"/>
            <w:vAlign w:val="center"/>
            <w:tcMar>
              <w:top w:w="80" w:type="dxa"/>
              <w:bottom w:w="80" w:type="dxa"/>
              <w:left w:w="90" w:type="dxa"/>
              <w:right w:w="90" w:type="dxa"/>
            </w:tcMar>
            <w:tcBorders>
              <w:bottom w:val="single" w:sz="4" w:color="D7DCE0"/>
            </w:tcBorders>
          </w:tcPr>
          <w:p>
            <w:pPr>
              <w:keepNext w:val="0"/>
              <w:spacing w:after="0" w:line="276" w:lineRule="auto"/>
            </w:pPr>
            <w:r>
              <w:rPr>
                <w:sz w:val="20"/>
              </w:rPr>
              <w:t>修改提示或适配、比较候选模型；检索不足在冻结前决策</w:t>
            </w:r>
          </w:p>
        </w:tc>
      </w:tr>
      <w:tr>
        <w:trPr>
          <w:cantSplit/>
        </w:trPr>
        <w:tc>
          <w:tcPr>
            <w:tcW w:type="dxa" w:w="1843"/>
            <w:vAlign w:val="center"/>
            <w:tcMar>
              <w:top w:w="80" w:type="dxa"/>
              <w:bottom w:w="80" w:type="dxa"/>
              <w:left w:w="90" w:type="dxa"/>
              <w:right w:w="90" w:type="dxa"/>
            </w:tcMar>
            <w:tcBorders>
              <w:bottom w:val="single" w:sz="4" w:color="D7DCE0"/>
            </w:tcBorders>
          </w:tcPr>
          <w:p>
            <w:pPr>
              <w:keepNext w:val="0"/>
              <w:spacing w:after="0" w:line="276" w:lineRule="auto"/>
            </w:pPr>
            <w:r>
              <w:rPr>
                <w:sz w:val="20"/>
              </w:rPr>
              <w:t>容量与恢复</w:t>
            </w:r>
          </w:p>
        </w:tc>
        <w:tc>
          <w:tcPr>
            <w:tcW w:type="dxa" w:w="4493"/>
            <w:vAlign w:val="center"/>
            <w:tcMar>
              <w:top w:w="80" w:type="dxa"/>
              <w:bottom w:w="80" w:type="dxa"/>
              <w:left w:w="90" w:type="dxa"/>
              <w:right w:w="90" w:type="dxa"/>
            </w:tcMar>
            <w:tcBorders>
              <w:bottom w:val="single" w:sz="4" w:color="D7DCE0"/>
            </w:tcBorders>
          </w:tcPr>
          <w:p>
            <w:pPr>
              <w:keepNext w:val="0"/>
              <w:spacing w:after="0" w:line="276" w:lineRule="auto"/>
            </w:pPr>
            <w:r>
              <w:rPr>
                <w:sz w:val="20"/>
              </w:rPr>
              <w:t>目标 ASIN、SKU、记录量与并发实测；备份恢复能查回来源且符合约定目标</w:t>
            </w:r>
          </w:p>
        </w:tc>
        <w:tc>
          <w:tcPr>
            <w:tcW w:type="dxa" w:w="3888"/>
            <w:vAlign w:val="center"/>
            <w:tcMar>
              <w:top w:w="80" w:type="dxa"/>
              <w:bottom w:w="80" w:type="dxa"/>
              <w:left w:w="90" w:type="dxa"/>
              <w:right w:w="90" w:type="dxa"/>
            </w:tcMar>
            <w:tcBorders>
              <w:bottom w:val="single" w:sz="4" w:color="D7DCE0"/>
            </w:tcBorders>
          </w:tcPr>
          <w:p>
            <w:pPr>
              <w:keepNext w:val="0"/>
              <w:spacing w:after="0" w:line="276" w:lineRule="auto"/>
            </w:pPr>
            <w:r>
              <w:rPr>
                <w:sz w:val="20"/>
              </w:rPr>
              <w:t>调整资源、索引或任务粒度，重新验证受影响项</w:t>
            </w:r>
          </w:p>
        </w:tc>
      </w:tr>
    </w:tbl>
    <w:p>
      <w:pPr>
        <w:spacing w:after="20" w:before="0" w:line="240" w:lineRule="auto"/>
      </w:pPr>
      <w:r>
        <w:rPr>
          <w:sz w:val="4"/>
        </w:rPr>
      </w:r>
    </w:p>
    <w:p>
      <w:r>
        <w:t>不能凭一次 pip 安装成功宣称整套技术可用，也不能因为模型未选择而跳过其评测后直接发布。供应商具体候选需结合已授权区域、可用账号和预算决定；用户未提供这些条件时，只能冻结模型接口与业务约束，不能冻结服务商及产品最终验收。</w:t>
      </w:r>
    </w:p>
    <w:p>
      <w:pPr>
        <w:pStyle w:val="Heading2"/>
      </w:pPr>
      <w:r>
        <w:t>11.11 决策记录与用户确认边界</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1843"/>
        <w:gridCol w:w="4493"/>
        <w:gridCol w:w="3888"/>
      </w:tblGrid>
      <w:tr>
        <w:trPr>
          <w:cantSplit/>
          <w:tblHeader/>
        </w:trPr>
        <w:tc>
          <w:tcPr>
            <w:tcW w:type="dxa" w:w="1843"/>
            <w:vAlign w:val="center"/>
            <w:tcMar>
              <w:top w:w="80" w:type="dxa"/>
              <w:bottom w:w="80" w:type="dxa"/>
              <w:left w:w="90" w:type="dxa"/>
              <w:right w:w="90" w:type="dxa"/>
            </w:tcMar>
            <w:tcBorders>
              <w:bottom w:val="single" w:sz="4" w:color="D7DCE0"/>
            </w:tcBorders>
            <w:shd w:fill="EEF1F3"/>
          </w:tcPr>
          <w:p>
            <w:pPr>
              <w:keepNext/>
              <w:spacing w:after="0" w:line="276" w:lineRule="auto"/>
            </w:pPr>
            <w:r>
              <w:rPr>
                <w:b/>
                <w:sz w:val="20"/>
              </w:rPr>
              <w:t>决策编号</w:t>
            </w:r>
          </w:p>
        </w:tc>
        <w:tc>
          <w:tcPr>
            <w:tcW w:type="dxa" w:w="4493"/>
            <w:vAlign w:val="center"/>
            <w:tcMar>
              <w:top w:w="80" w:type="dxa"/>
              <w:bottom w:w="80" w:type="dxa"/>
              <w:left w:w="90" w:type="dxa"/>
              <w:right w:w="90" w:type="dxa"/>
            </w:tcMar>
            <w:tcBorders>
              <w:bottom w:val="single" w:sz="4" w:color="D7DCE0"/>
            </w:tcBorders>
            <w:shd w:fill="EEF1F3"/>
          </w:tcPr>
          <w:p>
            <w:pPr>
              <w:keepNext/>
              <w:spacing w:after="0" w:line="276" w:lineRule="auto"/>
            </w:pPr>
            <w:r>
              <w:rPr>
                <w:b/>
                <w:sz w:val="20"/>
              </w:rPr>
              <w:t>推荐结论</w:t>
            </w:r>
          </w:p>
        </w:tc>
        <w:tc>
          <w:tcPr>
            <w:tcW w:type="dxa" w:w="3888"/>
            <w:vAlign w:val="center"/>
            <w:tcMar>
              <w:top w:w="80" w:type="dxa"/>
              <w:bottom w:w="80" w:type="dxa"/>
              <w:left w:w="90" w:type="dxa"/>
              <w:right w:w="90" w:type="dxa"/>
            </w:tcMar>
            <w:tcBorders>
              <w:bottom w:val="single" w:sz="4" w:color="D7DCE0"/>
            </w:tcBorders>
            <w:shd w:fill="EEF1F3"/>
          </w:tcPr>
          <w:p>
            <w:pPr>
              <w:keepNext/>
              <w:spacing w:after="0" w:line="276" w:lineRule="auto"/>
            </w:pPr>
            <w:r>
              <w:rPr>
                <w:b/>
                <w:sz w:val="20"/>
              </w:rPr>
              <w:t>状态</w:t>
            </w:r>
          </w:p>
        </w:tc>
      </w:tr>
      <w:tr>
        <w:trPr>
          <w:cantSplit/>
        </w:trPr>
        <w:tc>
          <w:tcPr>
            <w:tcW w:type="dxa" w:w="1843"/>
            <w:vAlign w:val="center"/>
            <w:tcMar>
              <w:top w:w="80" w:type="dxa"/>
              <w:bottom w:w="80" w:type="dxa"/>
              <w:left w:w="90" w:type="dxa"/>
              <w:right w:w="90" w:type="dxa"/>
            </w:tcMar>
            <w:tcBorders>
              <w:bottom w:val="single" w:sz="4" w:color="D7DCE0"/>
            </w:tcBorders>
          </w:tcPr>
          <w:p>
            <w:pPr>
              <w:keepNext w:val="0"/>
              <w:spacing w:after="0" w:line="276" w:lineRule="auto"/>
            </w:pPr>
            <w:r>
              <w:rPr>
                <w:sz w:val="20"/>
              </w:rPr>
              <w:t>ADR-01</w:t>
            </w:r>
          </w:p>
        </w:tc>
        <w:tc>
          <w:tcPr>
            <w:tcW w:type="dxa" w:w="4493"/>
            <w:vAlign w:val="center"/>
            <w:tcMar>
              <w:top w:w="80" w:type="dxa"/>
              <w:bottom w:w="80" w:type="dxa"/>
              <w:left w:w="90" w:type="dxa"/>
              <w:right w:w="90" w:type="dxa"/>
            </w:tcMar>
            <w:tcBorders>
              <w:bottom w:val="single" w:sz="4" w:color="D7DCE0"/>
            </w:tcBorders>
          </w:tcPr>
          <w:p>
            <w:pPr>
              <w:keepNext w:val="0"/>
              <w:spacing w:after="0" w:line="276" w:lineRule="auto"/>
            </w:pPr>
            <w:r>
              <w:rPr>
                <w:sz w:val="20"/>
              </w:rPr>
              <w:t>单服务器、小团队、最多 1,000 子 ASIN；报表导入、预留 API 扩展点</w:t>
            </w:r>
          </w:p>
        </w:tc>
        <w:tc>
          <w:tcPr>
            <w:tcW w:type="dxa" w:w="3888"/>
            <w:vAlign w:val="center"/>
            <w:tcMar>
              <w:top w:w="80" w:type="dxa"/>
              <w:bottom w:w="80" w:type="dxa"/>
              <w:left w:w="90" w:type="dxa"/>
              <w:right w:w="90" w:type="dxa"/>
            </w:tcMar>
            <w:tcBorders>
              <w:bottom w:val="single" w:sz="4" w:color="D7DCE0"/>
            </w:tcBorders>
          </w:tcPr>
          <w:p>
            <w:pPr>
              <w:keepNext w:val="0"/>
              <w:spacing w:after="0" w:line="276" w:lineRule="auto"/>
            </w:pPr>
            <w:r>
              <w:rPr>
                <w:sz w:val="20"/>
              </w:rPr>
              <w:t>用户已确认</w:t>
            </w:r>
          </w:p>
        </w:tc>
      </w:tr>
      <w:tr>
        <w:trPr>
          <w:cantSplit/>
        </w:trPr>
        <w:tc>
          <w:tcPr>
            <w:tcW w:type="dxa" w:w="1843"/>
            <w:vAlign w:val="center"/>
            <w:tcMar>
              <w:top w:w="80" w:type="dxa"/>
              <w:bottom w:w="80" w:type="dxa"/>
              <w:left w:w="90" w:type="dxa"/>
              <w:right w:w="90" w:type="dxa"/>
            </w:tcMar>
            <w:tcBorders>
              <w:bottom w:val="single" w:sz="4" w:color="D7DCE0"/>
            </w:tcBorders>
          </w:tcPr>
          <w:p>
            <w:pPr>
              <w:keepNext w:val="0"/>
              <w:spacing w:after="0" w:line="276" w:lineRule="auto"/>
            </w:pPr>
            <w:r>
              <w:rPr>
                <w:sz w:val="20"/>
              </w:rPr>
              <w:t>ADR-02</w:t>
            </w:r>
          </w:p>
        </w:tc>
        <w:tc>
          <w:tcPr>
            <w:tcW w:type="dxa" w:w="4493"/>
            <w:vAlign w:val="center"/>
            <w:tcMar>
              <w:top w:w="80" w:type="dxa"/>
              <w:bottom w:w="80" w:type="dxa"/>
              <w:left w:w="90" w:type="dxa"/>
              <w:right w:w="90" w:type="dxa"/>
            </w:tcMar>
            <w:tcBorders>
              <w:bottom w:val="single" w:sz="4" w:color="D7DCE0"/>
            </w:tcBorders>
          </w:tcPr>
          <w:p>
            <w:pPr>
              <w:keepNext w:val="0"/>
              <w:spacing w:after="0" w:line="276" w:lineRule="auto"/>
            </w:pPr>
            <w:r>
              <w:rPr>
                <w:sz w:val="20"/>
              </w:rPr>
              <w:t>Django 模块化单体、PostgreSQL、ORM 与统一对象授权</w:t>
            </w:r>
          </w:p>
        </w:tc>
        <w:tc>
          <w:tcPr>
            <w:tcW w:type="dxa" w:w="3888"/>
            <w:vAlign w:val="center"/>
            <w:tcMar>
              <w:top w:w="80" w:type="dxa"/>
              <w:bottom w:w="80" w:type="dxa"/>
              <w:left w:w="90" w:type="dxa"/>
              <w:right w:w="90" w:type="dxa"/>
            </w:tcMar>
            <w:tcBorders>
              <w:bottom w:val="single" w:sz="4" w:color="D7DCE0"/>
            </w:tcBorders>
          </w:tcPr>
          <w:p>
            <w:pPr>
              <w:keepNext w:val="0"/>
              <w:spacing w:after="0" w:line="276" w:lineRule="auto"/>
            </w:pPr>
            <w:r>
              <w:rPr>
                <w:sz w:val="20"/>
              </w:rPr>
              <w:t>用户于 2026-09-21 确认；按阶段验证</w:t>
            </w:r>
          </w:p>
        </w:tc>
      </w:tr>
      <w:tr>
        <w:trPr>
          <w:cantSplit/>
        </w:trPr>
        <w:tc>
          <w:tcPr>
            <w:tcW w:type="dxa" w:w="1843"/>
            <w:vAlign w:val="center"/>
            <w:tcMar>
              <w:top w:w="80" w:type="dxa"/>
              <w:bottom w:w="80" w:type="dxa"/>
              <w:left w:w="90" w:type="dxa"/>
              <w:right w:w="90" w:type="dxa"/>
            </w:tcMar>
            <w:tcBorders>
              <w:bottom w:val="single" w:sz="4" w:color="D7DCE0"/>
            </w:tcBorders>
          </w:tcPr>
          <w:p>
            <w:pPr>
              <w:keepNext w:val="0"/>
              <w:spacing w:after="0" w:line="276" w:lineRule="auto"/>
            </w:pPr>
            <w:r>
              <w:rPr>
                <w:sz w:val="20"/>
              </w:rPr>
              <w:t>ADR-03</w:t>
            </w:r>
          </w:p>
        </w:tc>
        <w:tc>
          <w:tcPr>
            <w:tcW w:type="dxa" w:w="4493"/>
            <w:vAlign w:val="center"/>
            <w:tcMar>
              <w:top w:w="80" w:type="dxa"/>
              <w:bottom w:w="80" w:type="dxa"/>
              <w:left w:w="90" w:type="dxa"/>
              <w:right w:w="90" w:type="dxa"/>
            </w:tcMar>
            <w:tcBorders>
              <w:bottom w:val="single" w:sz="4" w:color="D7DCE0"/>
            </w:tcBorders>
          </w:tcPr>
          <w:p>
            <w:pPr>
              <w:keepNext w:val="0"/>
              <w:spacing w:after="0" w:line="276" w:lineRule="auto"/>
            </w:pPr>
            <w:r>
              <w:rPr>
                <w:sz w:val="20"/>
              </w:rPr>
              <w:t>Celery 执行、Redis 传递、DB 任务恢复器统一重试</w:t>
            </w:r>
          </w:p>
        </w:tc>
        <w:tc>
          <w:tcPr>
            <w:tcW w:type="dxa" w:w="3888"/>
            <w:vAlign w:val="center"/>
            <w:tcMar>
              <w:top w:w="80" w:type="dxa"/>
              <w:bottom w:w="80" w:type="dxa"/>
              <w:left w:w="90" w:type="dxa"/>
              <w:right w:w="90" w:type="dxa"/>
            </w:tcMar>
            <w:tcBorders>
              <w:bottom w:val="single" w:sz="4" w:color="D7DCE0"/>
            </w:tcBorders>
          </w:tcPr>
          <w:p>
            <w:pPr>
              <w:keepNext w:val="0"/>
              <w:spacing w:after="0" w:line="276" w:lineRule="auto"/>
            </w:pPr>
            <w:r>
              <w:rPr>
                <w:sz w:val="20"/>
              </w:rPr>
              <w:t>用户于 2026-09-21 确认；综合故障验证待完成</w:t>
            </w:r>
          </w:p>
        </w:tc>
      </w:tr>
      <w:tr>
        <w:trPr>
          <w:cantSplit/>
        </w:trPr>
        <w:tc>
          <w:tcPr>
            <w:tcW w:type="dxa" w:w="1843"/>
            <w:vAlign w:val="center"/>
            <w:tcMar>
              <w:top w:w="80" w:type="dxa"/>
              <w:bottom w:w="80" w:type="dxa"/>
              <w:left w:w="90" w:type="dxa"/>
              <w:right w:w="90" w:type="dxa"/>
            </w:tcMar>
            <w:tcBorders>
              <w:bottom w:val="single" w:sz="4" w:color="D7DCE0"/>
            </w:tcBorders>
          </w:tcPr>
          <w:p>
            <w:pPr>
              <w:keepNext w:val="0"/>
              <w:spacing w:after="0" w:line="276" w:lineRule="auto"/>
            </w:pPr>
            <w:r>
              <w:rPr>
                <w:sz w:val="20"/>
              </w:rPr>
              <w:t>ADR-04</w:t>
            </w:r>
          </w:p>
        </w:tc>
        <w:tc>
          <w:tcPr>
            <w:tcW w:type="dxa" w:w="4493"/>
            <w:vAlign w:val="center"/>
            <w:tcMar>
              <w:top w:w="80" w:type="dxa"/>
              <w:bottom w:w="80" w:type="dxa"/>
              <w:left w:w="90" w:type="dxa"/>
              <w:right w:w="90" w:type="dxa"/>
            </w:tcMar>
            <w:tcBorders>
              <w:bottom w:val="single" w:sz="4" w:color="D7DCE0"/>
            </w:tcBorders>
          </w:tcPr>
          <w:p>
            <w:pPr>
              <w:keepNext w:val="0"/>
              <w:spacing w:after="0" w:line="276" w:lineRule="auto"/>
            </w:pPr>
            <w:r>
              <w:rPr>
                <w:sz w:val="20"/>
              </w:rPr>
              <w:t>Python 标准流程 + LangGraph StateGraph 自主调查；不采用 LangChain create_agent</w:t>
            </w:r>
          </w:p>
        </w:tc>
        <w:tc>
          <w:tcPr>
            <w:tcW w:type="dxa" w:w="3888"/>
            <w:vAlign w:val="center"/>
            <w:tcMar>
              <w:top w:w="80" w:type="dxa"/>
              <w:bottom w:w="80" w:type="dxa"/>
              <w:left w:w="90" w:type="dxa"/>
              <w:right w:w="90" w:type="dxa"/>
            </w:tcMar>
            <w:tcBorders>
              <w:bottom w:val="single" w:sz="4" w:color="D7DCE0"/>
            </w:tcBorders>
          </w:tcPr>
          <w:p>
            <w:pPr>
              <w:keepNext w:val="0"/>
              <w:spacing w:after="0" w:line="276" w:lineRule="auto"/>
            </w:pPr>
            <w:r>
              <w:rPr>
                <w:sz w:val="20"/>
              </w:rPr>
              <w:t>用户于 2026-09-20 确认自主调查及该选型方向；具体版本与故障验证未完成</w:t>
            </w:r>
          </w:p>
        </w:tc>
      </w:tr>
      <w:tr>
        <w:trPr>
          <w:cantSplit/>
        </w:trPr>
        <w:tc>
          <w:tcPr>
            <w:tcW w:type="dxa" w:w="1843"/>
            <w:vAlign w:val="center"/>
            <w:tcMar>
              <w:top w:w="80" w:type="dxa"/>
              <w:bottom w:w="80" w:type="dxa"/>
              <w:left w:w="90" w:type="dxa"/>
              <w:right w:w="90" w:type="dxa"/>
            </w:tcMar>
            <w:tcBorders>
              <w:bottom w:val="single" w:sz="4" w:color="D7DCE0"/>
            </w:tcBorders>
          </w:tcPr>
          <w:p>
            <w:pPr>
              <w:keepNext w:val="0"/>
              <w:spacing w:after="0" w:line="276" w:lineRule="auto"/>
            </w:pPr>
            <w:r>
              <w:rPr>
                <w:sz w:val="20"/>
              </w:rPr>
              <w:t>ADR-09</w:t>
            </w:r>
          </w:p>
        </w:tc>
        <w:tc>
          <w:tcPr>
            <w:tcW w:type="dxa" w:w="4493"/>
            <w:vAlign w:val="center"/>
            <w:tcMar>
              <w:top w:w="80" w:type="dxa"/>
              <w:bottom w:w="80" w:type="dxa"/>
              <w:left w:w="90" w:type="dxa"/>
              <w:right w:w="90" w:type="dxa"/>
            </w:tcMar>
            <w:tcBorders>
              <w:bottom w:val="single" w:sz="4" w:color="D7DCE0"/>
            </w:tcBorders>
          </w:tcPr>
          <w:p>
            <w:pPr>
              <w:keepNext w:val="0"/>
              <w:spacing w:after="0" w:line="276" w:lineRule="auto"/>
            </w:pPr>
            <w:r>
              <w:rPr>
                <w:sz w:val="20"/>
              </w:rPr>
              <w:t>自动保存调查产物、明确授权的内部执行、其他业务变更走提案确认；本次不接外部写接口</w:t>
            </w:r>
          </w:p>
        </w:tc>
        <w:tc>
          <w:tcPr>
            <w:tcW w:type="dxa" w:w="3888"/>
            <w:vAlign w:val="center"/>
            <w:tcMar>
              <w:top w:w="80" w:type="dxa"/>
              <w:bottom w:w="80" w:type="dxa"/>
              <w:left w:w="90" w:type="dxa"/>
              <w:right w:w="90" w:type="dxa"/>
            </w:tcMar>
            <w:tcBorders>
              <w:bottom w:val="single" w:sz="4" w:color="D7DCE0"/>
            </w:tcBorders>
          </w:tcPr>
          <w:p>
            <w:pPr>
              <w:keepNext w:val="0"/>
              <w:spacing w:after="0" w:line="276" w:lineRule="auto"/>
            </w:pPr>
            <w:r>
              <w:rPr>
                <w:sz w:val="20"/>
              </w:rPr>
              <w:t>用户于 2026-09-20 确认分级权限原则；规则配置与模型预算需落定</w:t>
            </w:r>
          </w:p>
        </w:tc>
      </w:tr>
      <w:tr>
        <w:trPr>
          <w:cantSplit/>
        </w:trPr>
        <w:tc>
          <w:tcPr>
            <w:tcW w:type="dxa" w:w="1843"/>
            <w:vAlign w:val="center"/>
            <w:tcMar>
              <w:top w:w="80" w:type="dxa"/>
              <w:bottom w:w="80" w:type="dxa"/>
              <w:left w:w="90" w:type="dxa"/>
              <w:right w:w="90" w:type="dxa"/>
            </w:tcMar>
            <w:tcBorders>
              <w:bottom w:val="single" w:sz="4" w:color="D7DCE0"/>
            </w:tcBorders>
          </w:tcPr>
          <w:p>
            <w:pPr>
              <w:keepNext w:val="0"/>
              <w:spacing w:after="0" w:line="276" w:lineRule="auto"/>
            </w:pPr>
            <w:r>
              <w:rPr>
                <w:sz w:val="20"/>
              </w:rPr>
              <w:t>ADR-05</w:t>
            </w:r>
          </w:p>
        </w:tc>
        <w:tc>
          <w:tcPr>
            <w:tcW w:type="dxa" w:w="4493"/>
            <w:vAlign w:val="center"/>
            <w:tcMar>
              <w:top w:w="80" w:type="dxa"/>
              <w:bottom w:w="80" w:type="dxa"/>
              <w:left w:w="90" w:type="dxa"/>
              <w:right w:w="90" w:type="dxa"/>
            </w:tcMar>
            <w:tcBorders>
              <w:bottom w:val="single" w:sz="4" w:color="D7DCE0"/>
            </w:tcBorders>
          </w:tcPr>
          <w:p>
            <w:pPr>
              <w:keepNext w:val="0"/>
              <w:spacing w:after="0" w:line="276" w:lineRule="auto"/>
            </w:pPr>
            <w:r>
              <w:rPr>
                <w:sz w:val="20"/>
              </w:rPr>
              <w:t>HTTPX 与 Pydantic 接入托管模型；事实和排序不由模型控制</w:t>
            </w:r>
          </w:p>
        </w:tc>
        <w:tc>
          <w:tcPr>
            <w:tcW w:type="dxa" w:w="3888"/>
            <w:vAlign w:val="center"/>
            <w:tcMar>
              <w:top w:w="80" w:type="dxa"/>
              <w:bottom w:w="80" w:type="dxa"/>
              <w:left w:w="90" w:type="dxa"/>
              <w:right w:w="90" w:type="dxa"/>
            </w:tcMar>
            <w:tcBorders>
              <w:bottom w:val="single" w:sz="4" w:color="D7DCE0"/>
            </w:tcBorders>
          </w:tcPr>
          <w:p>
            <w:pPr>
              <w:keepNext w:val="0"/>
              <w:spacing w:after="0" w:line="276" w:lineRule="auto"/>
            </w:pPr>
            <w:r>
              <w:rPr>
                <w:sz w:val="20"/>
              </w:rPr>
              <w:t>接入设计完成；云端使用、区域、供应商和型号待确认评测</w:t>
            </w:r>
          </w:p>
        </w:tc>
      </w:tr>
      <w:tr>
        <w:trPr>
          <w:cantSplit/>
        </w:trPr>
        <w:tc>
          <w:tcPr>
            <w:tcW w:type="dxa" w:w="1843"/>
            <w:vAlign w:val="center"/>
            <w:tcMar>
              <w:top w:w="80" w:type="dxa"/>
              <w:bottom w:w="80" w:type="dxa"/>
              <w:left w:w="90" w:type="dxa"/>
              <w:right w:w="90" w:type="dxa"/>
            </w:tcMar>
            <w:tcBorders>
              <w:bottom w:val="single" w:sz="4" w:color="D7DCE0"/>
            </w:tcBorders>
          </w:tcPr>
          <w:p>
            <w:pPr>
              <w:keepNext w:val="0"/>
              <w:spacing w:after="0" w:line="276" w:lineRule="auto"/>
            </w:pPr>
            <w:r>
              <w:rPr>
                <w:sz w:val="20"/>
              </w:rPr>
              <w:t>ADR-06</w:t>
            </w:r>
          </w:p>
        </w:tc>
        <w:tc>
          <w:tcPr>
            <w:tcW w:type="dxa" w:w="4493"/>
            <w:vAlign w:val="center"/>
            <w:tcMar>
              <w:top w:w="80" w:type="dxa"/>
              <w:bottom w:w="80" w:type="dxa"/>
              <w:left w:w="90" w:type="dxa"/>
              <w:right w:w="90" w:type="dxa"/>
            </w:tcMar>
            <w:tcBorders>
              <w:bottom w:val="single" w:sz="4" w:color="D7DCE0"/>
            </w:tcBorders>
          </w:tcPr>
          <w:p>
            <w:pPr>
              <w:keepNext w:val="0"/>
              <w:spacing w:after="0" w:line="276" w:lineRule="auto"/>
            </w:pPr>
            <w:r>
              <w:rPr>
                <w:sz w:val="20"/>
              </w:rPr>
              <w:t>PostgreSQL 中英文关键词检索及别名，金标检验召回</w:t>
            </w:r>
          </w:p>
        </w:tc>
        <w:tc>
          <w:tcPr>
            <w:tcW w:type="dxa" w:w="3888"/>
            <w:vAlign w:val="center"/>
            <w:tcMar>
              <w:top w:w="80" w:type="dxa"/>
              <w:bottom w:w="80" w:type="dxa"/>
              <w:left w:w="90" w:type="dxa"/>
              <w:right w:w="90" w:type="dxa"/>
            </w:tcMar>
            <w:tcBorders>
              <w:bottom w:val="single" w:sz="4" w:color="D7DCE0"/>
            </w:tcBorders>
          </w:tcPr>
          <w:p>
            <w:pPr>
              <w:keepNext w:val="0"/>
              <w:spacing w:after="0" w:line="276" w:lineRule="auto"/>
            </w:pPr>
            <w:r>
              <w:rPr>
                <w:sz w:val="20"/>
              </w:rPr>
              <w:t>技术建议完成，待检索验证</w:t>
            </w:r>
          </w:p>
        </w:tc>
      </w:tr>
      <w:tr>
        <w:trPr>
          <w:cantSplit/>
        </w:trPr>
        <w:tc>
          <w:tcPr>
            <w:tcW w:type="dxa" w:w="1843"/>
            <w:vAlign w:val="center"/>
            <w:tcMar>
              <w:top w:w="80" w:type="dxa"/>
              <w:bottom w:w="80" w:type="dxa"/>
              <w:left w:w="90" w:type="dxa"/>
              <w:right w:w="90" w:type="dxa"/>
            </w:tcMar>
            <w:tcBorders>
              <w:bottom w:val="single" w:sz="4" w:color="D7DCE0"/>
            </w:tcBorders>
          </w:tcPr>
          <w:p>
            <w:pPr>
              <w:keepNext w:val="0"/>
              <w:spacing w:after="0" w:line="276" w:lineRule="auto"/>
            </w:pPr>
            <w:r>
              <w:rPr>
                <w:sz w:val="20"/>
              </w:rPr>
              <w:t>ADR-07</w:t>
            </w:r>
          </w:p>
        </w:tc>
        <w:tc>
          <w:tcPr>
            <w:tcW w:type="dxa" w:w="4493"/>
            <w:vAlign w:val="center"/>
            <w:tcMar>
              <w:top w:w="80" w:type="dxa"/>
              <w:bottom w:w="80" w:type="dxa"/>
              <w:left w:w="90" w:type="dxa"/>
              <w:right w:w="90" w:type="dxa"/>
            </w:tcMar>
            <w:tcBorders>
              <w:bottom w:val="single" w:sz="4" w:color="D7DCE0"/>
            </w:tcBorders>
          </w:tcPr>
          <w:p>
            <w:pPr>
              <w:keepNext w:val="0"/>
              <w:spacing w:after="0" w:line="276" w:lineRule="auto"/>
            </w:pPr>
            <w:r>
              <w:rPr>
                <w:sz w:val="20"/>
              </w:rPr>
              <w:t>React 工作台、同源会话、生成式 API 类型契约</w:t>
            </w:r>
          </w:p>
        </w:tc>
        <w:tc>
          <w:tcPr>
            <w:tcW w:type="dxa" w:w="3888"/>
            <w:vAlign w:val="center"/>
            <w:tcMar>
              <w:top w:w="80" w:type="dxa"/>
              <w:bottom w:w="80" w:type="dxa"/>
              <w:left w:w="90" w:type="dxa"/>
              <w:right w:w="90" w:type="dxa"/>
            </w:tcMar>
            <w:tcBorders>
              <w:bottom w:val="single" w:sz="4" w:color="D7DCE0"/>
            </w:tcBorders>
          </w:tcPr>
          <w:p>
            <w:pPr>
              <w:keepNext w:val="0"/>
              <w:spacing w:after="0" w:line="276" w:lineRule="auto"/>
            </w:pPr>
            <w:r>
              <w:rPr>
                <w:sz w:val="20"/>
              </w:rPr>
              <w:t>用户于 2026-09-21 确认；按阶段验证</w:t>
            </w:r>
          </w:p>
        </w:tc>
      </w:tr>
      <w:tr>
        <w:trPr>
          <w:cantSplit/>
        </w:trPr>
        <w:tc>
          <w:tcPr>
            <w:tcW w:type="dxa" w:w="1843"/>
            <w:vAlign w:val="center"/>
            <w:tcMar>
              <w:top w:w="80" w:type="dxa"/>
              <w:bottom w:w="80" w:type="dxa"/>
              <w:left w:w="90" w:type="dxa"/>
              <w:right w:w="90" w:type="dxa"/>
            </w:tcMar>
            <w:tcBorders>
              <w:bottom w:val="single" w:sz="4" w:color="D7DCE0"/>
            </w:tcBorders>
          </w:tcPr>
          <w:p>
            <w:pPr>
              <w:keepNext w:val="0"/>
              <w:spacing w:after="0" w:line="276" w:lineRule="auto"/>
            </w:pPr>
            <w:r>
              <w:rPr>
                <w:sz w:val="20"/>
              </w:rPr>
              <w:t>ADR-08</w:t>
            </w:r>
          </w:p>
        </w:tc>
        <w:tc>
          <w:tcPr>
            <w:tcW w:type="dxa" w:w="4493"/>
            <w:vAlign w:val="center"/>
            <w:tcMar>
              <w:top w:w="80" w:type="dxa"/>
              <w:bottom w:w="80" w:type="dxa"/>
              <w:left w:w="90" w:type="dxa"/>
              <w:right w:w="90" w:type="dxa"/>
            </w:tcMar>
            <w:tcBorders>
              <w:bottom w:val="single" w:sz="4" w:color="D7DCE0"/>
            </w:tcBorders>
          </w:tcPr>
          <w:p>
            <w:pPr>
              <w:keepNext w:val="0"/>
              <w:spacing w:after="0" w:line="276" w:lineRule="auto"/>
            </w:pPr>
            <w:r>
              <w:rPr>
                <w:sz w:val="20"/>
              </w:rPr>
              <w:t>Compose 单机部署、持久卷、异地加密备份；RPO24小时、RTO4小时</w:t>
            </w:r>
          </w:p>
        </w:tc>
        <w:tc>
          <w:tcPr>
            <w:tcW w:type="dxa" w:w="3888"/>
            <w:vAlign w:val="center"/>
            <w:tcMar>
              <w:top w:w="80" w:type="dxa"/>
              <w:bottom w:w="80" w:type="dxa"/>
              <w:left w:w="90" w:type="dxa"/>
              <w:right w:w="90" w:type="dxa"/>
            </w:tcMar>
            <w:tcBorders>
              <w:bottom w:val="single" w:sz="4" w:color="D7DCE0"/>
            </w:tcBorders>
          </w:tcPr>
          <w:p>
            <w:pPr>
              <w:keepNext w:val="0"/>
              <w:spacing w:after="0" w:line="276" w:lineRule="auto"/>
            </w:pPr>
            <w:r>
              <w:rPr>
                <w:sz w:val="20"/>
              </w:rPr>
              <w:t>技术建议完成，恢复目标及备份位置待确认验证</w:t>
            </w:r>
          </w:p>
        </w:tc>
      </w:tr>
    </w:tbl>
    <w:p>
      <w:pPr>
        <w:spacing w:after="20" w:before="0" w:line="240" w:lineRule="auto"/>
      </w:pPr>
      <w:r>
        <w:rPr>
          <w:sz w:val="4"/>
        </w:rPr>
      </w:r>
    </w:p>
    <w:p>
      <w:r>
        <w:t>由技术实施方负责选择兼容补丁、补齐配置、执行验证和提供记录，不能将每个依赖包选择交给用户逐一决定。用户需要确认的是整套推荐架构及有业务影响的约束：模型数据区域与预算、实际数据规模、可接受恢复时间和备份位置。确认记录包含日期、确认人、理由和适用范围；没有回复不计为同意。</w:t>
      </w:r>
    </w:p>
    <w:p>
      <w:pPr>
        <w:pStyle w:val="Heading2"/>
      </w:pPr>
      <w:r>
        <w:t>11.12 已确认的自主调查架构与写入契约</w:t>
      </w:r>
    </w:p>
    <w:p>
      <w:pPr>
        <w:keepNext/>
      </w:pPr>
      <w:r>
        <w:rPr>
          <w:b/>
        </w:rPr>
        <w:t>技术组合与选择理由</w:t>
      </w:r>
    </w:p>
    <w:p>
      <w:r>
        <w:t>采用 Python + LangGraph StateGraph + langgraph-checkpoint-postgres/PostgresSaver；图节点通过 HTTPX/Pydantic 模型适配器调用模型。Celery/Redis 负责后台分发，Django/DRF 负责入口、授权和业务命令，PostgreSQL 保存领域事实、审计及图检查点。单服务器以库方式运行 LangGraph，不额外部署 Agent Server 或强制依赖 LangSmith。LangGraph 和 checkpoint 包需一起锁定兼容版本，目前尚未完成安装和运行验证。</w:t>
      </w:r>
    </w:p>
    <w:p>
      <w:r>
        <w:t>选择 LangGraph 的依据是 B43/B44 确实存在基于新证据的决策循环，需要显式条件边、持久状态及恢复。固定检查无需迁入图；LangChain create_agent 的通用循环不再叠加，供应商接入统一走已有适配器。允许依赖中出现 langchain-core 等底层包，不将“不采用 LangChain Agent”误写成禁止全部同生态依赖。</w:t>
      </w:r>
    </w:p>
    <w:p>
      <w:pPr>
        <w:keepNext/>
      </w:pPr>
      <w:r>
        <w:rPr>
          <w:b/>
        </w:rPr>
        <w:t>入口与状态</w:t>
      </w:r>
    </w:p>
    <w:p>
      <w:r>
        <w:t>入口先执行 Authorize → ResolveScope → EnsureStandardChecks → StartInvestigation。ResolveScope 读取可见上下文、catalog 映射、该对象授权站点的异常摘要和覆盖。仅有一个可解释目标时自动定位；多个合理目标进入 needs_clarification，返回候选及依据。候选发现查询同样受权限过滤，不能显示未授权站点的名称或计数。显式指令与页面冲突不能静默覆盖。窗口采用需求默认规则并可见展示，不以模型推测填入任意时间。</w:t>
      </w:r>
    </w:p>
    <w:p>
      <w:r>
        <w:t>EnsureStandardChecks 复用对象、窗口、来源和规则版本一致的标准报告，或调用现有固定服务完成。基础数据、标签作业不足时显示依赖等待及缺口；标签是否可用由覆盖规则判定。等待不占 worker，恢复时仍绑定既定输入版本；若用户选择最新数据，创建有父运行引用的新调查，不混用快照。</w:t>
      </w:r>
    </w:p>
    <w:p>
      <w:r>
        <w:t>InvestigationRun 保存发起人、scope_id、对象及站点清单、指标与计量单位、窗口、snapshot_id、标准报告引用、workflow_version、model/prompt/schema 版本、预算、graph_thread_id 和状态。状态包括 queued、preparing、running、needs_clarification、waiting_data、completed、partial、cancelled、failed。调查是否完成与整改动作是否完成分开；存在待批准提案不代表调查进程必须一直运行。</w:t>
      </w:r>
    </w:p>
    <w:p>
      <w:r>
        <w:t>LangGraph 状态保存已验证事实引用、探索假设、反证、已执行工具签名、未核查项、轮数及停止原因。工具审计表保存参数、结果摘要、数据来源、耗时和调用 ID；模型调用表保存实际尝试与 token 费用，预算账本是重放不能回退的权威记录。图内预算字段为镜像，恢复后重新读取账本。</w:t>
      </w:r>
    </w:p>
    <w:p>
      <w:pPr>
        <w:keepNext/>
      </w:pPr>
      <w:r>
        <w:rPr>
          <w:b/>
        </w:rPr>
        <w:t>节点和工具</w:t>
      </w:r>
    </w:p>
    <w:p>
      <w:r>
        <w:t>循环为 Decide → ValidateDecision → ExecuteReadTools → RecordEvidence → CheckStop → Decide；结束分支为 ComposeResult → ValidateResult → PublishArtifacts。needs_clarification、waiting_data 和授权失效可从守卫节点退出。Decide 返回受限结构：tool_requests、finish 或 clarification，以及当前假设和简短选择理由。ValidateDecision 校验工具、对象、参数、粒度、权限及剩余预算；不允许模型生成任意代码或 SQL。</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1843"/>
        <w:gridCol w:w="4493"/>
        <w:gridCol w:w="3888"/>
      </w:tblGrid>
      <w:tr>
        <w:trPr>
          <w:cantSplit/>
          <w:tblHeader/>
        </w:trPr>
        <w:tc>
          <w:tcPr>
            <w:tcW w:type="dxa" w:w="1843"/>
            <w:vAlign w:val="center"/>
            <w:tcMar>
              <w:top w:w="80" w:type="dxa"/>
              <w:bottom w:w="80" w:type="dxa"/>
              <w:left w:w="90" w:type="dxa"/>
              <w:right w:w="90" w:type="dxa"/>
            </w:tcMar>
            <w:tcBorders>
              <w:bottom w:val="single" w:sz="4" w:color="D7DCE0"/>
            </w:tcBorders>
            <w:shd w:fill="EEF1F3"/>
          </w:tcPr>
          <w:p>
            <w:pPr>
              <w:keepNext/>
              <w:spacing w:after="0" w:line="276" w:lineRule="auto"/>
            </w:pPr>
            <w:r>
              <w:rPr>
                <w:b/>
                <w:sz w:val="20"/>
              </w:rPr>
              <w:t>工具类别</w:t>
            </w:r>
          </w:p>
        </w:tc>
        <w:tc>
          <w:tcPr>
            <w:tcW w:type="dxa" w:w="4493"/>
            <w:vAlign w:val="center"/>
            <w:tcMar>
              <w:top w:w="80" w:type="dxa"/>
              <w:bottom w:w="80" w:type="dxa"/>
              <w:left w:w="90" w:type="dxa"/>
              <w:right w:w="90" w:type="dxa"/>
            </w:tcMar>
            <w:tcBorders>
              <w:bottom w:val="single" w:sz="4" w:color="D7DCE0"/>
            </w:tcBorders>
            <w:shd w:fill="EEF1F3"/>
          </w:tcPr>
          <w:p>
            <w:pPr>
              <w:keepNext/>
              <w:spacing w:after="0" w:line="276" w:lineRule="auto"/>
            </w:pPr>
            <w:r>
              <w:rPr>
                <w:b/>
                <w:sz w:val="20"/>
              </w:rPr>
              <w:t>输入输出契约</w:t>
            </w:r>
          </w:p>
        </w:tc>
        <w:tc>
          <w:tcPr>
            <w:tcW w:type="dxa" w:w="3888"/>
            <w:vAlign w:val="center"/>
            <w:tcMar>
              <w:top w:w="80" w:type="dxa"/>
              <w:bottom w:w="80" w:type="dxa"/>
              <w:left w:w="90" w:type="dxa"/>
              <w:right w:w="90" w:type="dxa"/>
            </w:tcMar>
            <w:tcBorders>
              <w:bottom w:val="single" w:sz="4" w:color="D7DCE0"/>
            </w:tcBorders>
            <w:shd w:fill="EEF1F3"/>
          </w:tcPr>
          <w:p>
            <w:pPr>
              <w:keepNext/>
              <w:spacing w:after="0" w:line="276" w:lineRule="auto"/>
            </w:pPr>
            <w:r>
              <w:rPr>
                <w:b/>
                <w:sz w:val="20"/>
              </w:rPr>
              <w:t>执行限制</w:t>
            </w:r>
          </w:p>
        </w:tc>
      </w:tr>
      <w:tr>
        <w:trPr>
          <w:cantSplit/>
        </w:trPr>
        <w:tc>
          <w:tcPr>
            <w:tcW w:type="dxa" w:w="1843"/>
            <w:vAlign w:val="center"/>
            <w:tcMar>
              <w:top w:w="80" w:type="dxa"/>
              <w:bottom w:w="80" w:type="dxa"/>
              <w:left w:w="90" w:type="dxa"/>
              <w:right w:w="90" w:type="dxa"/>
            </w:tcMar>
            <w:tcBorders>
              <w:bottom w:val="single" w:sz="4" w:color="D7DCE0"/>
            </w:tcBorders>
          </w:tcPr>
          <w:p>
            <w:pPr>
              <w:keepNext w:val="0"/>
              <w:spacing w:after="0" w:line="276" w:lineRule="auto"/>
            </w:pPr>
            <w:r>
              <w:rPr>
                <w:sz w:val="20"/>
              </w:rPr>
              <w:t>对象与来源发现</w:t>
            </w:r>
          </w:p>
        </w:tc>
        <w:tc>
          <w:tcPr>
            <w:tcW w:type="dxa" w:w="4493"/>
            <w:vAlign w:val="center"/>
            <w:tcMar>
              <w:top w:w="80" w:type="dxa"/>
              <w:bottom w:w="80" w:type="dxa"/>
              <w:left w:w="90" w:type="dxa"/>
              <w:right w:w="90" w:type="dxa"/>
            </w:tcMar>
            <w:tcBorders>
              <w:bottom w:val="single" w:sz="4" w:color="D7DCE0"/>
            </w:tcBorders>
          </w:tcPr>
          <w:p>
            <w:pPr>
              <w:keepNext w:val="0"/>
              <w:spacing w:after="0" w:line="276" w:lineRule="auto"/>
            </w:pPr>
            <w:r>
              <w:rPr>
                <w:sz w:val="20"/>
              </w:rPr>
              <w:t>解析目标及 scope → 站点映射、异常摘要、来源覆盖</w:t>
            </w:r>
          </w:p>
        </w:tc>
        <w:tc>
          <w:tcPr>
            <w:tcW w:type="dxa" w:w="3888"/>
            <w:vAlign w:val="center"/>
            <w:tcMar>
              <w:top w:w="80" w:type="dxa"/>
              <w:bottom w:w="80" w:type="dxa"/>
              <w:left w:w="90" w:type="dxa"/>
              <w:right w:w="90" w:type="dxa"/>
            </w:tcMar>
            <w:tcBorders>
              <w:bottom w:val="single" w:sz="4" w:color="D7DCE0"/>
            </w:tcBorders>
          </w:tcPr>
          <w:p>
            <w:pPr>
              <w:keepNext w:val="0"/>
              <w:spacing w:after="0" w:line="276" w:lineRule="auto"/>
            </w:pPr>
            <w:r>
              <w:rPr>
                <w:sz w:val="20"/>
              </w:rPr>
              <w:t>入口 F 调用；需要扩展目标时返回澄清，模型不能自行增加授权范围</w:t>
            </w:r>
          </w:p>
        </w:tc>
      </w:tr>
      <w:tr>
        <w:trPr>
          <w:cantSplit/>
        </w:trPr>
        <w:tc>
          <w:tcPr>
            <w:tcW w:type="dxa" w:w="1843"/>
            <w:vAlign w:val="center"/>
            <w:tcMar>
              <w:top w:w="80" w:type="dxa"/>
              <w:bottom w:w="80" w:type="dxa"/>
              <w:left w:w="90" w:type="dxa"/>
              <w:right w:w="90" w:type="dxa"/>
            </w:tcMar>
            <w:tcBorders>
              <w:bottom w:val="single" w:sz="4" w:color="D7DCE0"/>
            </w:tcBorders>
          </w:tcPr>
          <w:p>
            <w:pPr>
              <w:keepNext w:val="0"/>
              <w:spacing w:after="0" w:line="276" w:lineRule="auto"/>
            </w:pPr>
            <w:r>
              <w:rPr>
                <w:sz w:val="20"/>
              </w:rPr>
              <w:t>指标和分层比较</w:t>
            </w:r>
          </w:p>
        </w:tc>
        <w:tc>
          <w:tcPr>
            <w:tcW w:type="dxa" w:w="4493"/>
            <w:vAlign w:val="center"/>
            <w:tcMar>
              <w:top w:w="80" w:type="dxa"/>
              <w:bottom w:w="80" w:type="dxa"/>
              <w:left w:w="90" w:type="dxa"/>
              <w:right w:w="90" w:type="dxa"/>
            </w:tcMar>
            <w:tcBorders>
              <w:bottom w:val="single" w:sz="4" w:color="D7DCE0"/>
            </w:tcBorders>
          </w:tcPr>
          <w:p>
            <w:pPr>
              <w:keepNext w:val="0"/>
              <w:spacing w:after="0" w:line="276" w:lineRule="auto"/>
            </w:pPr>
            <w:r>
              <w:rPr>
                <w:sz w:val="20"/>
              </w:rPr>
              <w:t>对象、指标、窗口、允许维度、snapshot → 分子分母、比较及覆盖</w:t>
            </w:r>
          </w:p>
        </w:tc>
        <w:tc>
          <w:tcPr>
            <w:tcW w:type="dxa" w:w="3888"/>
            <w:vAlign w:val="center"/>
            <w:tcMar>
              <w:top w:w="80" w:type="dxa"/>
              <w:bottom w:w="80" w:type="dxa"/>
              <w:left w:w="90" w:type="dxa"/>
              <w:right w:w="90" w:type="dxa"/>
            </w:tcMar>
            <w:tcBorders>
              <w:bottom w:val="single" w:sz="4" w:color="D7DCE0"/>
            </w:tcBorders>
          </w:tcPr>
          <w:p>
            <w:pPr>
              <w:keepNext w:val="0"/>
              <w:spacing w:after="0" w:line="276" w:lineRule="auto"/>
            </w:pPr>
            <w:r>
              <w:rPr>
                <w:sz w:val="20"/>
              </w:rPr>
              <w:t>订单数、订单件数、成熟队列分别定义；维度白名单，不让模型算数</w:t>
            </w:r>
          </w:p>
        </w:tc>
      </w:tr>
      <w:tr>
        <w:trPr>
          <w:cantSplit/>
        </w:trPr>
        <w:tc>
          <w:tcPr>
            <w:tcW w:type="dxa" w:w="1843"/>
            <w:vAlign w:val="center"/>
            <w:tcMar>
              <w:top w:w="80" w:type="dxa"/>
              <w:bottom w:w="80" w:type="dxa"/>
              <w:left w:w="90" w:type="dxa"/>
              <w:right w:w="90" w:type="dxa"/>
            </w:tcMar>
            <w:tcBorders>
              <w:bottom w:val="single" w:sz="4" w:color="D7DCE0"/>
            </w:tcBorders>
          </w:tcPr>
          <w:p>
            <w:pPr>
              <w:keepNext w:val="0"/>
              <w:spacing w:after="0" w:line="276" w:lineRule="auto"/>
            </w:pPr>
            <w:r>
              <w:rPr>
                <w:sz w:val="20"/>
              </w:rPr>
              <w:t>订单及退货核查</w:t>
            </w:r>
          </w:p>
        </w:tc>
        <w:tc>
          <w:tcPr>
            <w:tcW w:type="dxa" w:w="4493"/>
            <w:vAlign w:val="center"/>
            <w:tcMar>
              <w:top w:w="80" w:type="dxa"/>
              <w:bottom w:w="80" w:type="dxa"/>
              <w:left w:w="90" w:type="dxa"/>
              <w:right w:w="90" w:type="dxa"/>
            </w:tcMar>
            <w:tcBorders>
              <w:bottom w:val="single" w:sz="4" w:color="D7DCE0"/>
            </w:tcBorders>
          </w:tcPr>
          <w:p>
            <w:pPr>
              <w:keepNext w:val="0"/>
              <w:spacing w:after="0" w:line="276" w:lineRule="auto"/>
            </w:pPr>
            <w:r>
              <w:rPr>
                <w:sz w:val="20"/>
              </w:rPr>
              <w:t>对象、过滤条件、分页 → 脱敏记录引用及生命周期事实</w:t>
            </w:r>
          </w:p>
        </w:tc>
        <w:tc>
          <w:tcPr>
            <w:tcW w:type="dxa" w:w="3888"/>
            <w:vAlign w:val="center"/>
            <w:tcMar>
              <w:top w:w="80" w:type="dxa"/>
              <w:bottom w:w="80" w:type="dxa"/>
              <w:left w:w="90" w:type="dxa"/>
              <w:right w:w="90" w:type="dxa"/>
            </w:tcMar>
            <w:tcBorders>
              <w:bottom w:val="single" w:sz="4" w:color="D7DCE0"/>
            </w:tcBorders>
          </w:tcPr>
          <w:p>
            <w:pPr>
              <w:keepNext w:val="0"/>
              <w:spacing w:after="0" w:line="276" w:lineRule="auto"/>
            </w:pPr>
            <w:r>
              <w:rPr>
                <w:sz w:val="20"/>
              </w:rPr>
              <w:t>优先聚合；明细分页有总上限，不能以翻页绕过工具预算</w:t>
            </w:r>
          </w:p>
        </w:tc>
      </w:tr>
      <w:tr>
        <w:trPr>
          <w:cantSplit/>
        </w:trPr>
        <w:tc>
          <w:tcPr>
            <w:tcW w:type="dxa" w:w="1843"/>
            <w:vAlign w:val="center"/>
            <w:tcMar>
              <w:top w:w="80" w:type="dxa"/>
              <w:bottom w:w="80" w:type="dxa"/>
              <w:left w:w="90" w:type="dxa"/>
              <w:right w:w="90" w:type="dxa"/>
            </w:tcMar>
            <w:tcBorders>
              <w:bottom w:val="single" w:sz="4" w:color="D7DCE0"/>
            </w:tcBorders>
          </w:tcPr>
          <w:p>
            <w:pPr>
              <w:keepNext w:val="0"/>
              <w:spacing w:after="0" w:line="276" w:lineRule="auto"/>
            </w:pPr>
            <w:r>
              <w:rPr>
                <w:sz w:val="20"/>
              </w:rPr>
              <w:t>评论主题与原文检索</w:t>
            </w:r>
          </w:p>
        </w:tc>
        <w:tc>
          <w:tcPr>
            <w:tcW w:type="dxa" w:w="4493"/>
            <w:vAlign w:val="center"/>
            <w:tcMar>
              <w:top w:w="80" w:type="dxa"/>
              <w:bottom w:w="80" w:type="dxa"/>
              <w:left w:w="90" w:type="dxa"/>
              <w:right w:w="90" w:type="dxa"/>
            </w:tcMar>
            <w:tcBorders>
              <w:bottom w:val="single" w:sz="4" w:color="D7DCE0"/>
            </w:tcBorders>
          </w:tcPr>
          <w:p>
            <w:pPr>
              <w:keepNext w:val="0"/>
              <w:spacing w:after="0" w:line="276" w:lineRule="auto"/>
            </w:pPr>
            <w:r>
              <w:rPr>
                <w:sz w:val="20"/>
              </w:rPr>
              <w:t>对象、期间、主题或词语 → 分布或原文跨度</w:t>
            </w:r>
          </w:p>
        </w:tc>
        <w:tc>
          <w:tcPr>
            <w:tcW w:type="dxa" w:w="3888"/>
            <w:vAlign w:val="center"/>
            <w:tcMar>
              <w:top w:w="80" w:type="dxa"/>
              <w:bottom w:w="80" w:type="dxa"/>
              <w:left w:w="90" w:type="dxa"/>
              <w:right w:w="90" w:type="dxa"/>
            </w:tcMar>
            <w:tcBorders>
              <w:bottom w:val="single" w:sz="4" w:color="D7DCE0"/>
            </w:tcBorders>
          </w:tcPr>
          <w:p>
            <w:pPr>
              <w:keepNext w:val="0"/>
              <w:spacing w:after="0" w:line="276" w:lineRule="auto"/>
            </w:pPr>
            <w:r>
              <w:rPr>
                <w:sz w:val="20"/>
              </w:rPr>
              <w:t>趋势使用完整有效标签；检索样本不冒充总体，无订单关联不自动认定同买家</w:t>
            </w:r>
          </w:p>
        </w:tc>
      </w:tr>
      <w:tr>
        <w:trPr>
          <w:cantSplit/>
        </w:trPr>
        <w:tc>
          <w:tcPr>
            <w:tcW w:type="dxa" w:w="1843"/>
            <w:vAlign w:val="center"/>
            <w:tcMar>
              <w:top w:w="80" w:type="dxa"/>
              <w:bottom w:w="80" w:type="dxa"/>
              <w:left w:w="90" w:type="dxa"/>
              <w:right w:w="90" w:type="dxa"/>
            </w:tcMar>
            <w:tcBorders>
              <w:bottom w:val="single" w:sz="4" w:color="D7DCE0"/>
            </w:tcBorders>
          </w:tcPr>
          <w:p>
            <w:pPr>
              <w:keepNext w:val="0"/>
              <w:spacing w:after="0" w:line="276" w:lineRule="auto"/>
            </w:pPr>
            <w:r>
              <w:rPr>
                <w:sz w:val="20"/>
              </w:rPr>
              <w:t>运营事件及既有报告</w:t>
            </w:r>
          </w:p>
        </w:tc>
        <w:tc>
          <w:tcPr>
            <w:tcW w:type="dxa" w:w="4493"/>
            <w:vAlign w:val="center"/>
            <w:tcMar>
              <w:top w:w="80" w:type="dxa"/>
              <w:bottom w:w="80" w:type="dxa"/>
              <w:left w:w="90" w:type="dxa"/>
              <w:right w:w="90" w:type="dxa"/>
            </w:tcMar>
            <w:tcBorders>
              <w:bottom w:val="single" w:sz="4" w:color="D7DCE0"/>
            </w:tcBorders>
          </w:tcPr>
          <w:p>
            <w:pPr>
              <w:keepNext w:val="0"/>
              <w:spacing w:after="0" w:line="276" w:lineRule="auto"/>
            </w:pPr>
            <w:r>
              <w:rPr>
                <w:sz w:val="20"/>
              </w:rPr>
              <w:t>对象、期间 → 事件、旧报告与版本引用</w:t>
            </w:r>
          </w:p>
        </w:tc>
        <w:tc>
          <w:tcPr>
            <w:tcW w:type="dxa" w:w="3888"/>
            <w:vAlign w:val="center"/>
            <w:tcMar>
              <w:top w:w="80" w:type="dxa"/>
              <w:bottom w:w="80" w:type="dxa"/>
              <w:left w:w="90" w:type="dxa"/>
              <w:right w:w="90" w:type="dxa"/>
            </w:tcMar>
            <w:tcBorders>
              <w:bottom w:val="single" w:sz="4" w:color="D7DCE0"/>
            </w:tcBorders>
          </w:tcPr>
          <w:p>
            <w:pPr>
              <w:keepNext w:val="0"/>
              <w:spacing w:after="0" w:line="276" w:lineRule="auto"/>
            </w:pPr>
            <w:r>
              <w:rPr>
                <w:sz w:val="20"/>
              </w:rPr>
              <w:t>返回事实不证明因果；旧版本与当前快照差异必须说明</w:t>
            </w:r>
          </w:p>
        </w:tc>
      </w:tr>
      <w:tr>
        <w:trPr>
          <w:cantSplit/>
        </w:trPr>
        <w:tc>
          <w:tcPr>
            <w:tcW w:type="dxa" w:w="1843"/>
            <w:vAlign w:val="center"/>
            <w:tcMar>
              <w:top w:w="80" w:type="dxa"/>
              <w:bottom w:w="80" w:type="dxa"/>
              <w:left w:w="90" w:type="dxa"/>
              <w:right w:w="90" w:type="dxa"/>
            </w:tcMar>
            <w:tcBorders>
              <w:bottom w:val="single" w:sz="4" w:color="D7DCE0"/>
            </w:tcBorders>
          </w:tcPr>
          <w:p>
            <w:pPr>
              <w:keepNext w:val="0"/>
              <w:spacing w:after="0" w:line="276" w:lineRule="auto"/>
            </w:pPr>
            <w:r>
              <w:rPr>
                <w:sz w:val="20"/>
              </w:rPr>
              <w:t>内部变更提案</w:t>
            </w:r>
          </w:p>
        </w:tc>
        <w:tc>
          <w:tcPr>
            <w:tcW w:type="dxa" w:w="4493"/>
            <w:vAlign w:val="center"/>
            <w:tcMar>
              <w:top w:w="80" w:type="dxa"/>
              <w:bottom w:w="80" w:type="dxa"/>
              <w:left w:w="90" w:type="dxa"/>
              <w:right w:w="90" w:type="dxa"/>
            </w:tcMar>
            <w:tcBorders>
              <w:bottom w:val="single" w:sz="4" w:color="D7DCE0"/>
            </w:tcBorders>
          </w:tcPr>
          <w:p>
            <w:pPr>
              <w:keepNext w:val="0"/>
              <w:spacing w:after="0" w:line="276" w:lineRule="auto"/>
            </w:pPr>
            <w:r>
              <w:rPr>
                <w:sz w:val="20"/>
              </w:rPr>
              <w:t>对象、操作枚举、目标值、证据、实体版本 → 结构化提案</w:t>
            </w:r>
          </w:p>
        </w:tc>
        <w:tc>
          <w:tcPr>
            <w:tcW w:type="dxa" w:w="3888"/>
            <w:vAlign w:val="center"/>
            <w:tcMar>
              <w:top w:w="80" w:type="dxa"/>
              <w:bottom w:w="80" w:type="dxa"/>
              <w:left w:w="90" w:type="dxa"/>
              <w:right w:w="90" w:type="dxa"/>
            </w:tcMar>
            <w:tcBorders>
              <w:bottom w:val="single" w:sz="4" w:color="D7DCE0"/>
            </w:tcBorders>
          </w:tcPr>
          <w:p>
            <w:pPr>
              <w:keepNext w:val="0"/>
              <w:spacing w:after="0" w:line="276" w:lineRule="auto"/>
            </w:pPr>
            <w:r>
              <w:rPr>
                <w:sz w:val="20"/>
              </w:rPr>
              <w:t>模型只能提出命令；权限、批准、执行由确定性服务处理</w:t>
            </w:r>
          </w:p>
        </w:tc>
      </w:tr>
    </w:tbl>
    <w:p>
      <w:pPr>
        <w:spacing w:after="20" w:before="0" w:line="240" w:lineRule="auto"/>
      </w:pPr>
      <w:r>
        <w:rPr>
          <w:sz w:val="4"/>
        </w:rPr>
      </w:r>
    </w:p>
    <w:p>
      <w:r>
        <w:t>所有工具的 scope、snapshot 和执行身份由服务端注入，模型参数不得覆盖。每工具最多 100 条明细摘要或引用，截断返回 has_more 和覆盖信息；已知总量与取样数量分开。只读工具结果可按调用签名和快照复用；并行只用于无数据依赖的读操作，写操作顺序执行。</w:t>
      </w:r>
    </w:p>
    <w:p>
      <w:r>
        <w:t>模型可以产生探索假设，不能改动标准候选排序；报告并列展示标准候选和探索线索。代码校验数字、引用存在性、引用范围、证据类型及可用性；这些校验不能证明自由文本的全部语义正确，因此固定事实使用模板，探索结论标注未证实并交业务评测，禁止自动升级为已确认因果。</w:t>
      </w:r>
    </w:p>
    <w:p>
      <w:pPr>
        <w:keepNext/>
      </w:pPr>
      <w:r>
        <w:rPr>
          <w:b/>
        </w:rPr>
        <w:t>可写范围与提案执行</w:t>
      </w:r>
    </w:p>
    <w:p>
      <w:r>
        <w:t>PublishArtifacts 自动保存调查版本、证据关联和整改草案；可创建待核查任务，不能默认给它附上未经授权的责任人与截止日。AutoActionPolicy 保存规则 ID/版本、授权人、能力、scope、任务类型、负责人、期限策略、有效期和撤销状态。只有发起用户及执行身份都有相应能力且规则精确匹配，内部任务才可自动成为正式指派；缺少规则进入待确认状态。</w:t>
      </w:r>
    </w:p>
    <w:p>
      <w:r>
        <w:t>ChangeProposal 保存 target_id、expected_version、before/after、evidence_refs、payload_hash、策略引用和 proposed/approved/rejected/expired/executing/succeeded/failed 状态。审批页面显示具体修改；审批人必须有执行权限，批准绑定精确版本。确认端点通过领域服务执行或投递唯一命令；运行时重新校验当前授权、策略有效性、目标版本和前置条件，冲突不自动重写提案后沿用旧批准。</w:t>
      </w:r>
    </w:p>
    <w:p>
      <w:r>
        <w:t>每个命令使用 run_id + logical_action_id 幂等键，并额外按对象、任务类型和证据指纹关联既有未完成任务，避免新运行反复造待办。命令回执、业务修改、审计和提醒 Outbox 在同一事务提交；外层图在写入后崩溃，恢复先查回执，不重复执行。审计标识用户发起、Agent 提议、规则授权或人工批准，以及实际执行结果。只读调查也会保存这些内部产物，不能把“读工具白名单”理解为整个系统禁止写入。</w:t>
      </w:r>
    </w:p>
    <w:p>
      <w:r>
        <w:t>Agent 不具备直接写数据库、修改导入事实或规则配置的工具。本次 Amazon/ERP 写入工具不注册；Listing、价格、库存及买家联系请求只能生成允许的草案或说明范围。任何外部业务执行能力需要单独的来源接口、操作授权及验收，不由内部任务批准推导。</w:t>
      </w:r>
    </w:p>
    <w:p>
      <w:pPr>
        <w:keepNext/>
      </w:pPr>
      <w:r>
        <w:rPr>
          <w:b/>
        </w:rPr>
        <w:t>恢复停止与预算的唯一责任</w:t>
      </w:r>
    </w:p>
    <w:p>
      <w:r>
        <w:t>Job/Outbox 负责调度和运行级重试，Celery 领取运行后由 LangGraph 从 checkpoint 继续内部步骤；StepResult 仅驱动 L1，不同时恢复 L2 的节点。每个 graph_thread_id 对应一个调查运行，同运行禁止并发执行。工作进程持有该运行的数据库会话级 advisory lock，锁连接失效立即停止；checkpoint 写入使用该受控连接或包装器校验当前租约代数，不能让旧 worker 写入新运行状态。领域命令另外校验 fencing token，不把 checkpoint 原子性误当成业务写入原子性。</w:t>
      </w:r>
    </w:p>
    <w:p>
      <w:r>
        <w:t>进程崩溃后锁释放，恢复器重新领取租约并加载图状态；挂起但仍持锁的进程须先终止确认退出才能接管，不能仅凭心跳过期就并行跑两份图。工具执行和 checkpoint 之间可重放，因此数据库命令必须有上述回执；模型已返回但未保存时无法保证供应商不重复计费，仍受持久尝试预算限制。</w:t>
      </w:r>
    </w:p>
    <w:p>
      <w:r>
        <w:t>初始预算为 8 次模型决策、12 次只读工具调用、最多 5 个内部变更提案、300 秒累计主动执行时间；单次网络请求 30 秒、最多两次尝试。最终说明最多 1 次模型调用并计入整体时间/token/金额预算。执行前预留预算，执行后结算，重试、图恢复与分页不得重置；具体 token 和金额上限须待服务商选定后写入配置并验收。暂停等待人或数据不消耗主动执行时间，但保留已用预算；重新继续同一调查仍沿用累计额度，新的明确调查请求才可建立有链接的新运行。</w:t>
      </w:r>
    </w:p>
    <w:p>
      <w:r>
        <w:t>强制停止条件包括预算耗尽、连续两轮无新增有效证据、重复调用同快照同参数、必要缺口阻断有效路径、用户取消及授权撤销。重复请求先复用缓存并提示该方向已查，不反复付费。取消后不再发起新调用或命令，正在返回的结果不得继续发布；已提交合法写入保留并展示，不作虚假回滚。安全线索立即走独立安全服务，不等待普通图结束，也不能借安全分支扩大数据权限。</w:t>
      </w:r>
    </w:p>
    <w:p>
      <w:r>
        <w:t>权限恢复与补数继续必须重查当前授权和数据版本；权限撤销后停止并限制历史结果访问。流程升级后用兼容 workflow_version 恢复，不能用新节点语义解释旧 checkpoint；无法兼容则保留记录并在用户明确继续时创建新运行。</w:t>
      </w:r>
    </w:p>
    <w:p>
      <w:pPr>
        <w:keepNext/>
      </w:pPr>
      <w:r>
        <w:rPr>
          <w:b/>
        </w:rPr>
        <w:t>实施和验收补充</w:t>
      </w:r>
    </w:p>
    <w:p>
      <w:r>
        <w:t>W-Agent 交付上述入口、图、工具、审计、预算和恢复；W4 交付命令授权与提案；W5 显示采用范围、数据截至时间、简短调查进度、待澄清、停止原因、实际写入结果和确认界面。均属本次同一交付。</w:t>
      </w:r>
    </w:p>
    <w:p>
      <w:r>
        <w:t>AC-21 至 AC-26 必须覆盖：有唯一上下文无需追问、多站点同名需澄清、订单与件数区分、中间证据改变后工具路径改变、反证推翻假设、部分缺源仍可查其他方向、安全即时分流、模型超时、预算重启不清零、取消与撤权、写后崩溃不重复任务、旧版本批准拒绝。测试用可控模型响应验证机制，并用独立真实脱敏案例验证调查价值；不得仅以聊天回答自然流畅验收 Agent。实际案例的时效和可执行性沿用需求业务验收，技术故障与权限案例必须全部通过。</w:t>
      </w:r>
    </w:p>
    <w:p>
      <w:pPr>
        <w:pStyle w:val="Heading1"/>
      </w:pPr>
      <w:r>
        <w:t>12 开发实施与完整验收</w:t>
      </w:r>
    </w:p>
    <w:p>
      <w:pPr>
        <w:pStyle w:val="Heading2"/>
      </w:pPr>
      <w:r>
        <w:t>12.1 开始开发前的冻结包</w:t>
      </w:r>
    </w:p>
    <w:p>
      <w:r>
        <w:t>冻结包包括需求正文、经确认的总体设计、来源契约与样本、指标字典及边界案例、ER 模型及索引约束、API 结构与错误码、状态转换表、权限矩阵、技术决策记录、测试追踪表和部署恢复方案。不能把“已选框架”当作设计已经完成。</w:t>
      </w:r>
    </w:p>
    <w:p>
      <w:r>
        <w:t>本文件给出总体设计；W0 需将实体和接口进一步落成机器可校验的数据库迁移、OpenAPI 和契约测试。主键、索引和公共字段在开发前确定，迁移与 OpenAPI 是这些契约的可执行表达，不借实施阶段再决定核心设计。其细化不能改变已冻结的分母、时间窗、权限和处理行为；发现冲突先记录并确认变更，而非在实现里自行换口径。</w:t>
      </w:r>
    </w:p>
    <w:p>
      <w:pPr>
        <w:pStyle w:val="Heading2"/>
      </w:pPr>
      <w:r>
        <w:t>12.2 工作包及退出条件</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1843"/>
        <w:gridCol w:w="4493"/>
        <w:gridCol w:w="3888"/>
      </w:tblGrid>
      <w:tr>
        <w:trPr>
          <w:cantSplit/>
          <w:tblHeader/>
        </w:trPr>
        <w:tc>
          <w:tcPr>
            <w:tcW w:type="dxa" w:w="1843"/>
            <w:vAlign w:val="center"/>
            <w:tcMar>
              <w:top w:w="80" w:type="dxa"/>
              <w:bottom w:w="80" w:type="dxa"/>
              <w:left w:w="90" w:type="dxa"/>
              <w:right w:w="90" w:type="dxa"/>
            </w:tcMar>
            <w:tcBorders>
              <w:bottom w:val="single" w:sz="4" w:color="D7DCE0"/>
            </w:tcBorders>
            <w:shd w:fill="EEF1F3"/>
          </w:tcPr>
          <w:p>
            <w:pPr>
              <w:keepNext/>
              <w:spacing w:after="0" w:line="276" w:lineRule="auto"/>
            </w:pPr>
            <w:r>
              <w:rPr>
                <w:b/>
                <w:sz w:val="20"/>
              </w:rPr>
              <w:t>工作包</w:t>
            </w:r>
          </w:p>
        </w:tc>
        <w:tc>
          <w:tcPr>
            <w:tcW w:type="dxa" w:w="4493"/>
            <w:vAlign w:val="center"/>
            <w:tcMar>
              <w:top w:w="80" w:type="dxa"/>
              <w:bottom w:w="80" w:type="dxa"/>
              <w:left w:w="90" w:type="dxa"/>
              <w:right w:w="90" w:type="dxa"/>
            </w:tcMar>
            <w:tcBorders>
              <w:bottom w:val="single" w:sz="4" w:color="D7DCE0"/>
            </w:tcBorders>
            <w:shd w:fill="EEF1F3"/>
          </w:tcPr>
          <w:p>
            <w:pPr>
              <w:keepNext/>
              <w:spacing w:after="0" w:line="276" w:lineRule="auto"/>
            </w:pPr>
            <w:r>
              <w:rPr>
                <w:b/>
                <w:sz w:val="20"/>
              </w:rPr>
              <w:t>具体交付及退出条件</w:t>
            </w:r>
          </w:p>
        </w:tc>
        <w:tc>
          <w:tcPr>
            <w:tcW w:type="dxa" w:w="3888"/>
            <w:vAlign w:val="center"/>
            <w:tcMar>
              <w:top w:w="80" w:type="dxa"/>
              <w:bottom w:w="80" w:type="dxa"/>
              <w:left w:w="90" w:type="dxa"/>
              <w:right w:w="90" w:type="dxa"/>
            </w:tcMar>
            <w:tcBorders>
              <w:bottom w:val="single" w:sz="4" w:color="D7DCE0"/>
            </w:tcBorders>
            <w:shd w:fill="EEF1F3"/>
          </w:tcPr>
          <w:p>
            <w:pPr>
              <w:keepNext/>
              <w:spacing w:after="0" w:line="276" w:lineRule="auto"/>
            </w:pPr>
            <w:r>
              <w:rPr>
                <w:b/>
                <w:sz w:val="20"/>
              </w:rPr>
              <w:t>依赖与验收映射</w:t>
            </w:r>
          </w:p>
        </w:tc>
      </w:tr>
      <w:tr>
        <w:trPr>
          <w:cantSplit/>
        </w:trPr>
        <w:tc>
          <w:tcPr>
            <w:tcW w:type="dxa" w:w="1843"/>
            <w:vAlign w:val="center"/>
            <w:tcMar>
              <w:top w:w="80" w:type="dxa"/>
              <w:bottom w:w="80" w:type="dxa"/>
              <w:left w:w="90" w:type="dxa"/>
              <w:right w:w="90" w:type="dxa"/>
            </w:tcMar>
            <w:tcBorders>
              <w:bottom w:val="single" w:sz="4" w:color="D7DCE0"/>
            </w:tcBorders>
          </w:tcPr>
          <w:p>
            <w:pPr>
              <w:keepNext w:val="0"/>
              <w:spacing w:after="0" w:line="276" w:lineRule="auto"/>
            </w:pPr>
            <w:r>
              <w:rPr>
                <w:sz w:val="20"/>
              </w:rPr>
              <w:t>W0 契约与设计冻结</w:t>
            </w:r>
          </w:p>
        </w:tc>
        <w:tc>
          <w:tcPr>
            <w:tcW w:type="dxa" w:w="4493"/>
            <w:vAlign w:val="center"/>
            <w:tcMar>
              <w:top w:w="80" w:type="dxa"/>
              <w:bottom w:w="80" w:type="dxa"/>
              <w:left w:w="90" w:type="dxa"/>
              <w:right w:w="90" w:type="dxa"/>
            </w:tcMar>
            <w:tcBorders>
              <w:bottom w:val="single" w:sz="4" w:color="D7DCE0"/>
            </w:tcBorders>
          </w:tcPr>
          <w:p>
            <w:pPr>
              <w:keepNext w:val="0"/>
              <w:spacing w:after="0" w:line="276" w:lineRule="auto"/>
            </w:pPr>
            <w:r>
              <w:rPr>
                <w:sz w:val="20"/>
              </w:rPr>
              <w:t>真实样本、来源优先级、字段字典、ER、接口、状态权限、选型决策齐备；高风险口径验证有结果</w:t>
            </w:r>
          </w:p>
        </w:tc>
        <w:tc>
          <w:tcPr>
            <w:tcW w:type="dxa" w:w="3888"/>
            <w:vAlign w:val="center"/>
            <w:tcMar>
              <w:top w:w="80" w:type="dxa"/>
              <w:bottom w:w="80" w:type="dxa"/>
              <w:left w:w="90" w:type="dxa"/>
              <w:right w:w="90" w:type="dxa"/>
            </w:tcMar>
            <w:tcBorders>
              <w:bottom w:val="single" w:sz="4" w:color="D7DCE0"/>
            </w:tcBorders>
          </w:tcPr>
          <w:p>
            <w:pPr>
              <w:keepNext w:val="0"/>
              <w:spacing w:after="0" w:line="276" w:lineRule="auto"/>
            </w:pPr>
            <w:r>
              <w:rPr>
                <w:sz w:val="20"/>
              </w:rPr>
              <w:t>起点；FR-01、FR-12；全体 AC 的输入准备</w:t>
            </w:r>
          </w:p>
        </w:tc>
      </w:tr>
      <w:tr>
        <w:trPr>
          <w:cantSplit/>
        </w:trPr>
        <w:tc>
          <w:tcPr>
            <w:tcW w:type="dxa" w:w="1843"/>
            <w:vAlign w:val="center"/>
            <w:tcMar>
              <w:top w:w="80" w:type="dxa"/>
              <w:bottom w:w="80" w:type="dxa"/>
              <w:left w:w="90" w:type="dxa"/>
              <w:right w:w="90" w:type="dxa"/>
            </w:tcMar>
            <w:tcBorders>
              <w:bottom w:val="single" w:sz="4" w:color="D7DCE0"/>
            </w:tcBorders>
          </w:tcPr>
          <w:p>
            <w:pPr>
              <w:keepNext w:val="0"/>
              <w:spacing w:after="0" w:line="276" w:lineRule="auto"/>
            </w:pPr>
            <w:r>
              <w:rPr>
                <w:sz w:val="20"/>
              </w:rPr>
              <w:t>W1 接入与计算</w:t>
            </w:r>
          </w:p>
        </w:tc>
        <w:tc>
          <w:tcPr>
            <w:tcW w:type="dxa" w:w="4493"/>
            <w:vAlign w:val="center"/>
            <w:tcMar>
              <w:top w:w="80" w:type="dxa"/>
              <w:bottom w:w="80" w:type="dxa"/>
              <w:left w:w="90" w:type="dxa"/>
              <w:right w:w="90" w:type="dxa"/>
            </w:tcMar>
            <w:tcBorders>
              <w:bottom w:val="single" w:sz="4" w:color="D7DCE0"/>
            </w:tcBorders>
          </w:tcPr>
          <w:p>
            <w:pPr>
              <w:keepNext w:val="0"/>
              <w:spacing w:after="0" w:line="276" w:lineRule="auto"/>
            </w:pPr>
            <w:r>
              <w:rPr>
                <w:sz w:val="20"/>
              </w:rPr>
              <w:t>导入预览发布、版本覆盖、来源追溯、成熟队列及回补可复现；相同输入不重复累计</w:t>
            </w:r>
          </w:p>
        </w:tc>
        <w:tc>
          <w:tcPr>
            <w:tcW w:type="dxa" w:w="3888"/>
            <w:vAlign w:val="center"/>
            <w:tcMar>
              <w:top w:w="80" w:type="dxa"/>
              <w:bottom w:w="80" w:type="dxa"/>
              <w:left w:w="90" w:type="dxa"/>
              <w:right w:w="90" w:type="dxa"/>
            </w:tcMar>
            <w:tcBorders>
              <w:bottom w:val="single" w:sz="4" w:color="D7DCE0"/>
            </w:tcBorders>
          </w:tcPr>
          <w:p>
            <w:pPr>
              <w:keepNext w:val="0"/>
              <w:spacing w:after="0" w:line="276" w:lineRule="auto"/>
            </w:pPr>
            <w:r>
              <w:rPr>
                <w:sz w:val="20"/>
              </w:rPr>
              <w:t>W0；FR-02、FR-03；AC-01 至 AC-08、AC-11、AC-20</w:t>
            </w:r>
          </w:p>
        </w:tc>
      </w:tr>
      <w:tr>
        <w:trPr>
          <w:cantSplit/>
        </w:trPr>
        <w:tc>
          <w:tcPr>
            <w:tcW w:type="dxa" w:w="1843"/>
            <w:vAlign w:val="center"/>
            <w:tcMar>
              <w:top w:w="80" w:type="dxa"/>
              <w:bottom w:w="80" w:type="dxa"/>
              <w:left w:w="90" w:type="dxa"/>
              <w:right w:w="90" w:type="dxa"/>
            </w:tcMar>
            <w:tcBorders>
              <w:bottom w:val="single" w:sz="4" w:color="D7DCE0"/>
            </w:tcBorders>
          </w:tcPr>
          <w:p>
            <w:pPr>
              <w:keepNext w:val="0"/>
              <w:spacing w:after="0" w:line="276" w:lineRule="auto"/>
            </w:pPr>
            <w:r>
              <w:rPr>
                <w:sz w:val="20"/>
              </w:rPr>
              <w:t>W2 检测与事件</w:t>
            </w:r>
          </w:p>
        </w:tc>
        <w:tc>
          <w:tcPr>
            <w:tcW w:type="dxa" w:w="4493"/>
            <w:vAlign w:val="center"/>
            <w:tcMar>
              <w:top w:w="80" w:type="dxa"/>
              <w:bottom w:w="80" w:type="dxa"/>
              <w:left w:w="90" w:type="dxa"/>
              <w:right w:w="90" w:type="dxa"/>
            </w:tcMar>
            <w:tcBorders>
              <w:bottom w:val="single" w:sz="4" w:color="D7DCE0"/>
            </w:tcBorders>
          </w:tcPr>
          <w:p>
            <w:pPr>
              <w:keepNext w:val="0"/>
              <w:spacing w:after="0" w:line="276" w:lineRule="auto"/>
            </w:pPr>
            <w:r>
              <w:rPr>
                <w:sz w:val="20"/>
              </w:rPr>
              <w:t>规则阈值、统计门槛、互斥、持续天数、归并复发及提醒通过并发验证</w:t>
            </w:r>
          </w:p>
        </w:tc>
        <w:tc>
          <w:tcPr>
            <w:tcW w:type="dxa" w:w="3888"/>
            <w:vAlign w:val="center"/>
            <w:tcMar>
              <w:top w:w="80" w:type="dxa"/>
              <w:bottom w:w="80" w:type="dxa"/>
              <w:left w:w="90" w:type="dxa"/>
              <w:right w:w="90" w:type="dxa"/>
            </w:tcMar>
            <w:tcBorders>
              <w:bottom w:val="single" w:sz="4" w:color="D7DCE0"/>
            </w:tcBorders>
          </w:tcPr>
          <w:p>
            <w:pPr>
              <w:keepNext w:val="0"/>
              <w:spacing w:after="0" w:line="276" w:lineRule="auto"/>
            </w:pPr>
            <w:r>
              <w:rPr>
                <w:sz w:val="20"/>
              </w:rPr>
              <w:t>W1；FR-04、FR-05、FR-11；AC-08、AC-12、AC-14、AC-15、AC-17</w:t>
            </w:r>
          </w:p>
        </w:tc>
      </w:tr>
      <w:tr>
        <w:trPr>
          <w:cantSplit/>
        </w:trPr>
        <w:tc>
          <w:tcPr>
            <w:tcW w:type="dxa" w:w="1843"/>
            <w:vAlign w:val="center"/>
            <w:tcMar>
              <w:top w:w="80" w:type="dxa"/>
              <w:bottom w:w="80" w:type="dxa"/>
              <w:left w:w="90" w:type="dxa"/>
              <w:right w:w="90" w:type="dxa"/>
            </w:tcMar>
            <w:tcBorders>
              <w:bottom w:val="single" w:sz="4" w:color="D7DCE0"/>
            </w:tcBorders>
          </w:tcPr>
          <w:p>
            <w:pPr>
              <w:keepNext w:val="0"/>
              <w:spacing w:after="0" w:line="276" w:lineRule="auto"/>
            </w:pPr>
            <w:r>
              <w:rPr>
                <w:sz w:val="20"/>
              </w:rPr>
              <w:t>W3 语义证据报告</w:t>
            </w:r>
          </w:p>
        </w:tc>
        <w:tc>
          <w:tcPr>
            <w:tcW w:type="dxa" w:w="4493"/>
            <w:vAlign w:val="center"/>
            <w:tcMar>
              <w:top w:w="80" w:type="dxa"/>
              <w:bottom w:w="80" w:type="dxa"/>
              <w:left w:w="90" w:type="dxa"/>
              <w:right w:w="90" w:type="dxa"/>
            </w:tcMar>
            <w:tcBorders>
              <w:bottom w:val="single" w:sz="4" w:color="D7DCE0"/>
            </w:tcBorders>
          </w:tcPr>
          <w:p>
            <w:pPr>
              <w:keepNext w:val="0"/>
              <w:spacing w:after="0" w:line="276" w:lineRule="auto"/>
            </w:pPr>
            <w:r>
              <w:rPr>
                <w:sz w:val="20"/>
              </w:rPr>
              <w:t>标签检索、全成员引用、缺口候选、Guard 及无模型降级可用</w:t>
            </w:r>
          </w:p>
        </w:tc>
        <w:tc>
          <w:tcPr>
            <w:tcW w:type="dxa" w:w="3888"/>
            <w:vAlign w:val="center"/>
            <w:tcMar>
              <w:top w:w="80" w:type="dxa"/>
              <w:bottom w:w="80" w:type="dxa"/>
              <w:left w:w="90" w:type="dxa"/>
              <w:right w:w="90" w:type="dxa"/>
            </w:tcMar>
            <w:tcBorders>
              <w:bottom w:val="single" w:sz="4" w:color="D7DCE0"/>
            </w:tcBorders>
          </w:tcPr>
          <w:p>
            <w:pPr>
              <w:keepNext w:val="0"/>
              <w:spacing w:after="0" w:line="276" w:lineRule="auto"/>
            </w:pPr>
            <w:r>
              <w:rPr>
                <w:sz w:val="20"/>
              </w:rPr>
              <w:t>W1，可与 W2 并行；FR-06 至 FR-08；AC-09 至 AC-14、AC-18</w:t>
            </w:r>
          </w:p>
        </w:tc>
      </w:tr>
      <w:tr>
        <w:trPr>
          <w:cantSplit/>
        </w:trPr>
        <w:tc>
          <w:tcPr>
            <w:tcW w:type="dxa" w:w="1843"/>
            <w:vAlign w:val="center"/>
            <w:tcMar>
              <w:top w:w="80" w:type="dxa"/>
              <w:bottom w:w="80" w:type="dxa"/>
              <w:left w:w="90" w:type="dxa"/>
              <w:right w:w="90" w:type="dxa"/>
            </w:tcMar>
            <w:tcBorders>
              <w:bottom w:val="single" w:sz="4" w:color="D7DCE0"/>
            </w:tcBorders>
          </w:tcPr>
          <w:p>
            <w:pPr>
              <w:keepNext w:val="0"/>
              <w:spacing w:after="0" w:line="276" w:lineRule="auto"/>
            </w:pPr>
            <w:r>
              <w:rPr>
                <w:sz w:val="20"/>
              </w:rPr>
              <w:t>W4 处理复查</w:t>
            </w:r>
          </w:p>
        </w:tc>
        <w:tc>
          <w:tcPr>
            <w:tcW w:type="dxa" w:w="4493"/>
            <w:vAlign w:val="center"/>
            <w:tcMar>
              <w:top w:w="80" w:type="dxa"/>
              <w:bottom w:w="80" w:type="dxa"/>
              <w:left w:w="90" w:type="dxa"/>
              <w:right w:w="90" w:type="dxa"/>
            </w:tcMar>
            <w:tcBorders>
              <w:bottom w:val="single" w:sz="4" w:color="D7DCE0"/>
            </w:tcBorders>
          </w:tcPr>
          <w:p>
            <w:pPr>
              <w:keepNext w:val="0"/>
              <w:spacing w:after="0" w:line="276" w:lineRule="auto"/>
            </w:pPr>
            <w:r>
              <w:rPr>
                <w:sz w:val="20"/>
              </w:rPr>
              <w:t>预授权内部命令、提案确认、指派、动作、观察、关闭及审计</w:t>
            </w:r>
          </w:p>
        </w:tc>
        <w:tc>
          <w:tcPr>
            <w:tcW w:type="dxa" w:w="3888"/>
            <w:vAlign w:val="center"/>
            <w:tcMar>
              <w:top w:w="80" w:type="dxa"/>
              <w:bottom w:w="80" w:type="dxa"/>
              <w:left w:w="90" w:type="dxa"/>
              <w:right w:w="90" w:type="dxa"/>
            </w:tcMar>
            <w:tcBorders>
              <w:bottom w:val="single" w:sz="4" w:color="D7DCE0"/>
            </w:tcBorders>
          </w:tcPr>
          <w:p>
            <w:pPr>
              <w:keepNext w:val="0"/>
              <w:spacing w:after="0" w:line="276" w:lineRule="auto"/>
            </w:pPr>
            <w:r>
              <w:rPr>
                <w:sz w:val="20"/>
              </w:rPr>
              <w:t>W2、W3；FR-09；AC-10、AC-16、AC-17、AC-24 至 AC-26</w:t>
            </w:r>
          </w:p>
        </w:tc>
      </w:tr>
      <w:tr>
        <w:trPr>
          <w:cantSplit/>
        </w:trPr>
        <w:tc>
          <w:tcPr>
            <w:tcW w:type="dxa" w:w="1843"/>
            <w:vAlign w:val="center"/>
            <w:tcMar>
              <w:top w:w="80" w:type="dxa"/>
              <w:bottom w:w="80" w:type="dxa"/>
              <w:left w:w="90" w:type="dxa"/>
              <w:right w:w="90" w:type="dxa"/>
            </w:tcMar>
            <w:tcBorders>
              <w:bottom w:val="single" w:sz="4" w:color="D7DCE0"/>
            </w:tcBorders>
          </w:tcPr>
          <w:p>
            <w:pPr>
              <w:keepNext w:val="0"/>
              <w:spacing w:after="0" w:line="276" w:lineRule="auto"/>
            </w:pPr>
            <w:r>
              <w:rPr>
                <w:sz w:val="20"/>
              </w:rPr>
              <w:t>W5 页面查询导出</w:t>
            </w:r>
          </w:p>
        </w:tc>
        <w:tc>
          <w:tcPr>
            <w:tcW w:type="dxa" w:w="4493"/>
            <w:vAlign w:val="center"/>
            <w:tcMar>
              <w:top w:w="80" w:type="dxa"/>
              <w:bottom w:w="80" w:type="dxa"/>
              <w:left w:w="90" w:type="dxa"/>
              <w:right w:w="90" w:type="dxa"/>
            </w:tcMar>
            <w:tcBorders>
              <w:bottom w:val="single" w:sz="4" w:color="D7DCE0"/>
            </w:tcBorders>
          </w:tcPr>
          <w:p>
            <w:pPr>
              <w:keepNext w:val="0"/>
              <w:spacing w:after="0" w:line="276" w:lineRule="auto"/>
            </w:pPr>
            <w:r>
              <w:rPr>
                <w:sz w:val="20"/>
              </w:rPr>
              <w:t>五类页面、模糊定位、调查进度及提案确认、错误空态与下载权限</w:t>
            </w:r>
          </w:p>
        </w:tc>
        <w:tc>
          <w:tcPr>
            <w:tcW w:type="dxa" w:w="3888"/>
            <w:vAlign w:val="center"/>
            <w:tcMar>
              <w:top w:w="80" w:type="dxa"/>
              <w:bottom w:w="80" w:type="dxa"/>
              <w:left w:w="90" w:type="dxa"/>
              <w:right w:w="90" w:type="dxa"/>
            </w:tcMar>
            <w:tcBorders>
              <w:bottom w:val="single" w:sz="4" w:color="D7DCE0"/>
            </w:tcBorders>
          </w:tcPr>
          <w:p>
            <w:pPr>
              <w:keepNext w:val="0"/>
              <w:spacing w:after="0" w:line="276" w:lineRule="auto"/>
            </w:pPr>
            <w:r>
              <w:rPr>
                <w:sz w:val="20"/>
              </w:rPr>
              <w:t>契约后可并行，集成依赖 W1 至 W4 及 W-Agent；FR-10、FR-11；AC-18 至 AC-26</w:t>
            </w:r>
          </w:p>
        </w:tc>
      </w:tr>
      <w:tr>
        <w:trPr>
          <w:cantSplit/>
        </w:trPr>
        <w:tc>
          <w:tcPr>
            <w:tcW w:type="dxa" w:w="1843"/>
            <w:vAlign w:val="center"/>
            <w:tcMar>
              <w:top w:w="80" w:type="dxa"/>
              <w:bottom w:w="80" w:type="dxa"/>
              <w:left w:w="90" w:type="dxa"/>
              <w:right w:w="90" w:type="dxa"/>
            </w:tcMar>
            <w:tcBorders>
              <w:bottom w:val="single" w:sz="4" w:color="D7DCE0"/>
            </w:tcBorders>
          </w:tcPr>
          <w:p>
            <w:pPr>
              <w:keepNext w:val="0"/>
              <w:spacing w:after="0" w:line="276" w:lineRule="auto"/>
            </w:pPr>
            <w:r>
              <w:rPr>
                <w:sz w:val="20"/>
              </w:rPr>
              <w:t>W-Agent 自主调查</w:t>
            </w:r>
          </w:p>
        </w:tc>
        <w:tc>
          <w:tcPr>
            <w:tcW w:type="dxa" w:w="4493"/>
            <w:vAlign w:val="center"/>
            <w:tcMar>
              <w:top w:w="80" w:type="dxa"/>
              <w:bottom w:w="80" w:type="dxa"/>
              <w:left w:w="90" w:type="dxa"/>
              <w:right w:w="90" w:type="dxa"/>
            </w:tcMar>
            <w:tcBorders>
              <w:bottom w:val="single" w:sz="4" w:color="D7DCE0"/>
            </w:tcBorders>
          </w:tcPr>
          <w:p>
            <w:pPr>
              <w:keepNext w:val="0"/>
              <w:spacing w:after="0" w:line="276" w:lineRule="auto"/>
            </w:pPr>
            <w:r>
              <w:rPr>
                <w:sz w:val="20"/>
              </w:rPr>
              <w:t>LangGraph、领域工具、checkpoint、累计预算、恢复与受控写入</w:t>
            </w:r>
          </w:p>
        </w:tc>
        <w:tc>
          <w:tcPr>
            <w:tcW w:type="dxa" w:w="3888"/>
            <w:vAlign w:val="center"/>
            <w:tcMar>
              <w:top w:w="80" w:type="dxa"/>
              <w:bottom w:w="80" w:type="dxa"/>
              <w:left w:w="90" w:type="dxa"/>
              <w:right w:w="90" w:type="dxa"/>
            </w:tcMar>
            <w:tcBorders>
              <w:bottom w:val="single" w:sz="4" w:color="D7DCE0"/>
            </w:tcBorders>
          </w:tcPr>
          <w:p>
            <w:pPr>
              <w:keepNext w:val="0"/>
              <w:spacing w:after="0" w:line="276" w:lineRule="auto"/>
            </w:pPr>
            <w:r>
              <w:rPr>
                <w:sz w:val="20"/>
              </w:rPr>
              <w:t>W1、W3、W4 契约；FR-13；AC-21 至 AC-26；同次完整交付</w:t>
            </w:r>
          </w:p>
        </w:tc>
      </w:tr>
      <w:tr>
        <w:trPr>
          <w:cantSplit/>
        </w:trPr>
        <w:tc>
          <w:tcPr>
            <w:tcW w:type="dxa" w:w="1843"/>
            <w:vAlign w:val="center"/>
            <w:tcMar>
              <w:top w:w="80" w:type="dxa"/>
              <w:bottom w:w="80" w:type="dxa"/>
              <w:left w:w="90" w:type="dxa"/>
              <w:right w:w="90" w:type="dxa"/>
            </w:tcMar>
            <w:tcBorders>
              <w:bottom w:val="single" w:sz="4" w:color="D7DCE0"/>
            </w:tcBorders>
          </w:tcPr>
          <w:p>
            <w:pPr>
              <w:keepNext w:val="0"/>
              <w:spacing w:after="0" w:line="276" w:lineRule="auto"/>
            </w:pPr>
            <w:r>
              <w:rPr>
                <w:sz w:val="20"/>
              </w:rPr>
              <w:t>W6 完整验收与发布</w:t>
            </w:r>
          </w:p>
        </w:tc>
        <w:tc>
          <w:tcPr>
            <w:tcW w:type="dxa" w:w="4493"/>
            <w:vAlign w:val="center"/>
            <w:tcMar>
              <w:top w:w="80" w:type="dxa"/>
              <w:bottom w:w="80" w:type="dxa"/>
              <w:left w:w="90" w:type="dxa"/>
              <w:right w:w="90" w:type="dxa"/>
            </w:tcMar>
            <w:tcBorders>
              <w:bottom w:val="single" w:sz="4" w:color="D7DCE0"/>
            </w:tcBorders>
          </w:tcPr>
          <w:p>
            <w:pPr>
              <w:keepNext w:val="0"/>
              <w:spacing w:after="0" w:line="276" w:lineRule="auto"/>
            </w:pPr>
            <w:r>
              <w:rPr>
                <w:sz w:val="20"/>
              </w:rPr>
              <w:t>全部 AC、固定评测、性能、故障恢复、真实业务验证通过</w:t>
            </w:r>
          </w:p>
        </w:tc>
        <w:tc>
          <w:tcPr>
            <w:tcW w:type="dxa" w:w="3888"/>
            <w:vAlign w:val="center"/>
            <w:tcMar>
              <w:top w:w="80" w:type="dxa"/>
              <w:bottom w:w="80" w:type="dxa"/>
              <w:left w:w="90" w:type="dxa"/>
              <w:right w:w="90" w:type="dxa"/>
            </w:tcMar>
            <w:tcBorders>
              <w:bottom w:val="single" w:sz="4" w:color="D7DCE0"/>
            </w:tcBorders>
          </w:tcPr>
          <w:p>
            <w:pPr>
              <w:keepNext w:val="0"/>
              <w:spacing w:after="0" w:line="276" w:lineRule="auto"/>
            </w:pPr>
            <w:r>
              <w:rPr>
                <w:sz w:val="20"/>
              </w:rPr>
              <w:t>W0 至 W5 及 W-Agent；FR-12 贯穿；全部 26 项 AC</w:t>
            </w:r>
          </w:p>
        </w:tc>
      </w:tr>
    </w:tbl>
    <w:p>
      <w:pPr>
        <w:spacing w:after="20" w:before="0" w:line="240" w:lineRule="auto"/>
      </w:pPr>
      <w:r>
        <w:rPr>
          <w:sz w:val="4"/>
        </w:rPr>
      </w:r>
    </w:p>
    <w:p>
      <w:r>
        <w:t>执行上先建立一个贯穿所有模块的可测试样本，验证导入到复查的数据传递，再补齐全部规则和来源。这个样本是集成方法，不是首个交付版本，也不能据此推迟范围内功能。人员与投入时间未确定前，不承诺日历工期；确认人员后根据上述依赖估算并明确关键路径。</w:t>
      </w:r>
    </w:p>
    <w:p>
      <w:pPr>
        <w:pStyle w:val="Heading2"/>
      </w:pPr>
      <w:r>
        <w:t>12.3 测试与发布关口</w:t>
      </w:r>
    </w:p>
    <w:p>
      <w:r>
        <w:t>测试分为来源契约测试、指标已知答案测试、状态与并发测试、权限穿透测试、故障注入、固定语义检索评测和全流程验收。重点注入：发布提交后消息未投递、任务完成前进程退出、重复投递、扫描中来源更新、模型超时、两个用户同时关闭事件及备份恢复后的任务补跑。</w:t>
      </w:r>
    </w:p>
    <w:p>
      <w:r>
        <w:t>每项 AC 必须关联样本、预期结果、自动或人工验证方法及实际记录。固定集沿用需求门槛：路由准确率至少 95%、主题与极性 Macro-F1 至少 0.85、Recall@10 至少 0.85、引用有效率 100%，固定证据测试中不允许越界事实。测试集按商品和时间隔离，严重安全固定集所有规定正例必须进入人工核查，同时报告否定及假设语境误报。必须分别报告各项，不能用一个总体分数覆盖严重安全或引用错误。</w:t>
      </w:r>
    </w:p>
    <w:p>
      <w:r>
        <w:t>完整功能完成后进行不少于 3 周的影子运行，覆盖至少 2 名运营、10 个真实子 ASIN、30 个核查事件。沿用需求的调查用时降低至少 30%、可执行报告至少 60%、一般无效告警不高于 20% 门槛；样本不足延长或分列真实历史回放结果。影子运行是完整产品验收，不是缩小范围的试用版交付。</w:t>
      </w:r>
    </w:p>
    <w:p>
      <w:r>
        <w:t>发布顺序为备份和恢复确认、数据库迁移、应用发布、健康及只读核验、启用任务、全流程核验。迁移前评估可逆性，破坏性迁移不能只靠回退应用镜像；需要兼容迁移或明确备份恢复路径。未达到业务门槛只能记录技术验收完成，不宣称已经可用于真实运营。</w:t>
      </w:r>
    </w:p>
    <w:p>
      <w:pPr>
        <w:pStyle w:val="Heading1"/>
      </w:pPr>
      <w:r>
        <w:t>13 本轮评审需要形成的结论</w:t>
      </w:r>
    </w:p>
    <w:p>
      <w:r>
        <w:t>已确认自主调查、LangGraph 方向及受控内部写入；继续核定数据接入及版本模型、指标与追溯规则、事件处理和部署约束，以及其余技术推荐。用户确认推荐方案后，完成第 11.10 节验证，再把本文状态改为“已冻结”，补入实际选型、版本清单、决策人与日期；尚未确认的模型服务或数据区域必须保留为阻塞项，不能用“可配置”掩盖未解决问题。</w:t>
      </w:r>
    </w:p>
    <w:p>
      <w:r>
        <w:t>需求范围内的不可用数据已有明确降级与补齐路径；技术冻结不意味着未来不会发现平台字段差异。发现差异按契约修订及需求变更机制处理，并保留对指标、报告、动作和验收的影响记录。</w:t>
      </w:r>
    </w:p>
    <w:p>
      <w:pPr>
        <w:pStyle w:val="Heading1"/>
      </w:pPr>
      <w:r>
        <w:t>参考资料</w:t>
      </w:r>
    </w:p>
    <w:p>
      <w:pPr>
        <w:spacing w:after="20"/>
      </w:pPr>
      <w:r>
        <w:t>以下官方资料支持组件能力和工程约束，选型建议仍属于本项目判断。查阅日期为 2026-09-20。</w:t>
      </w:r>
    </w:p>
    <w:p>
      <w:pPr>
        <w:pStyle w:val="ListBullet"/>
        <w:spacing w:after="20"/>
      </w:pPr>
      <w:hyperlink r:id="rId9">
        <w:r>
          <w:rPr>
            <w:color w:val="245579"/>
          </w:rPr>
          <w:t>Django 版本支持</w:t>
        </w:r>
      </w:hyperlink>
      <w:r>
        <w:t>：长期支持周期；具体补丁版本在确认后锁定。</w:t>
      </w:r>
    </w:p>
    <w:p>
      <w:pPr>
        <w:pStyle w:val="ListBullet"/>
        <w:spacing w:after="20"/>
      </w:pPr>
      <w:hyperlink r:id="rId10">
        <w:r>
          <w:rPr>
            <w:color w:val="245579"/>
          </w:rPr>
          <w:t>Django 权限扩展</w:t>
        </w:r>
      </w:hyperlink>
      <w:r>
        <w:t>：核心框架未直接实现对象级权限，需补充店铺及商品范围授权。</w:t>
      </w:r>
    </w:p>
    <w:p>
      <w:pPr>
        <w:pStyle w:val="ListBullet"/>
        <w:spacing w:after="20"/>
      </w:pPr>
      <w:hyperlink r:id="rId11">
        <w:r>
          <w:rPr>
            <w:color w:val="245579"/>
          </w:rPr>
          <w:t>PostgreSQL 版本政策</w:t>
        </w:r>
      </w:hyperlink>
      <w:r>
        <w:t>：主版本支持期限。</w:t>
      </w:r>
    </w:p>
    <w:p>
      <w:pPr>
        <w:pStyle w:val="ListBullet"/>
        <w:spacing w:after="20"/>
      </w:pPr>
      <w:hyperlink r:id="rId12">
        <w:r>
          <w:rPr>
            <w:color w:val="245579"/>
          </w:rPr>
          <w:t>Celery 任务语义</w:t>
        </w:r>
      </w:hyperlink>
      <w:r>
        <w:t>：幂等、确认与失败处理边界。</w:t>
      </w:r>
    </w:p>
    <w:p>
      <w:pPr>
        <w:pStyle w:val="ListBullet"/>
        <w:spacing w:after="20"/>
      </w:pPr>
      <w:hyperlink r:id="rId13">
        <w:r>
          <w:rPr>
            <w:color w:val="245579"/>
          </w:rPr>
          <w:t>Celery 周期调度</w:t>
        </w:r>
      </w:hyperlink>
      <w:r>
        <w:t>：单一调度器、任务重叠和时区约束。</w:t>
      </w:r>
    </w:p>
    <w:p>
      <w:pPr>
        <w:pStyle w:val="ListBullet"/>
        <w:spacing w:after="20"/>
      </w:pPr>
      <w:hyperlink r:id="rId14">
        <w:r>
          <w:rPr>
            <w:color w:val="245579"/>
          </w:rPr>
          <w:t>FastAPI 官方能力说明</w:t>
        </w:r>
      </w:hyperlink>
      <w:r>
        <w:t>：作为后端备选的接口及类型校验能力。</w:t>
      </w:r>
    </w:p>
    <w:p>
      <w:pPr>
        <w:pStyle w:val="ListBullet"/>
        <w:spacing w:after="20"/>
      </w:pPr>
      <w:hyperlink r:id="rId15">
        <w:r>
          <w:rPr>
            <w:color w:val="245579"/>
          </w:rPr>
          <w:t>statsmodels 比例差区间</w:t>
        </w:r>
      </w:hyperlink>
      <w:r>
        <w:t>：Newcombe 方法及独立样本前提，实际实现显式指定参数并锁版本。</w:t>
      </w:r>
    </w:p>
    <w:p>
      <w:pPr>
        <w:pStyle w:val="ListBullet"/>
        <w:spacing w:after="20"/>
      </w:pPr>
      <w:hyperlink r:id="rId16">
        <w:r>
          <w:rPr>
            <w:color w:val="245579"/>
          </w:rPr>
          <w:t>LangGraph 持久化</w:t>
        </w:r>
      </w:hyperlink>
      <w:r>
        <w:t>：checkpoint 管理流程状态，与本系统的业务审计目的不同。</w:t>
      </w:r>
    </w:p>
    <w:p>
      <w:pPr>
        <w:pStyle w:val="ListBullet"/>
        <w:spacing w:after="20"/>
      </w:pPr>
      <w:hyperlink r:id="rId17">
        <w:r>
          <w:rPr>
            <w:color w:val="245579"/>
          </w:rPr>
          <w:t>LangGraph 概览</w:t>
        </w:r>
      </w:hyperlink>
      <w:r>
        <w:t>：框架定位及与 LangChain 的关系。</w:t>
      </w:r>
    </w:p>
    <w:p>
      <w:pPr>
        <w:pStyle w:val="ListBullet"/>
        <w:spacing w:after="20"/>
      </w:pPr>
      <w:hyperlink r:id="rId18">
        <w:r>
          <w:rPr>
            <w:color w:val="245579"/>
          </w:rPr>
          <w:t>Django 5.2 发布说明</w:t>
        </w:r>
      </w:hyperlink>
      <w:r>
        <w:t xml:space="preserve"> 与 </w:t>
      </w:r>
      <w:hyperlink r:id="rId19">
        <w:r>
          <w:rPr>
            <w:color w:val="245579"/>
          </w:rPr>
          <w:t>DRF 3.16 支持说明</w:t>
        </w:r>
      </w:hyperlink>
      <w:r>
        <w:t>：Python 和 Django 兼容信息，安装时仍须验证实际依赖组合。</w:t>
      </w:r>
    </w:p>
    <w:p>
      <w:pPr>
        <w:pStyle w:val="ListBullet"/>
        <w:spacing w:after="20"/>
      </w:pPr>
      <w:hyperlink r:id="rId20">
        <w:r>
          <w:rPr>
            <w:color w:val="245579"/>
          </w:rPr>
          <w:t>Celery Redis 传输</w:t>
        </w:r>
      </w:hyperlink>
      <w:r>
        <w:t>：visibility timeout 与重复投递边界。</w:t>
      </w:r>
    </w:p>
    <w:p>
      <w:pPr>
        <w:pStyle w:val="ListBullet"/>
        <w:spacing w:after="20"/>
      </w:pPr>
      <w:hyperlink r:id="rId21">
        <w:r>
          <w:rPr>
            <w:color w:val="245579"/>
          </w:rPr>
          <w:t>Pydantic 严格校验</w:t>
        </w:r>
      </w:hyperlink>
      <w:r>
        <w:t>：限制隐式类型转换，不能替代事实校验。</w:t>
      </w:r>
    </w:p>
    <w:p>
      <w:pPr>
        <w:pStyle w:val="ListBullet"/>
        <w:spacing w:after="20"/>
      </w:pPr>
      <w:hyperlink r:id="rId22">
        <w:r>
          <w:rPr>
            <w:color w:val="245579"/>
          </w:rPr>
          <w:t>PostgreSQL 全文检索</w:t>
        </w:r>
      </w:hyperlink>
      <w:r>
        <w:t>：词项构造、查询和排名。</w:t>
      </w:r>
    </w:p>
    <w:p>
      <w:pPr>
        <w:pStyle w:val="ListBullet"/>
        <w:spacing w:after="20"/>
      </w:pPr>
      <w:hyperlink r:id="rId23">
        <w:r>
          <w:rPr>
            <w:color w:val="245579"/>
          </w:rPr>
          <w:t>Vite 运行环境</w:t>
        </w:r>
      </w:hyperlink>
      <w:r>
        <w:t xml:space="preserve"> 与 </w:t>
      </w:r>
      <w:hyperlink r:id="rId24">
        <w:r>
          <w:rPr>
            <w:color w:val="245579"/>
          </w:rPr>
          <w:t>Ant Design 环境支持</w:t>
        </w:r>
      </w:hyperlink>
      <w:r>
        <w:t>：前端构建及组件支持条件。</w:t>
      </w:r>
    </w:p>
    <w:p>
      <w:pPr>
        <w:pStyle w:val="ListBullet"/>
        <w:spacing w:after="20"/>
      </w:pPr>
      <w:hyperlink r:id="rId25">
        <w:r>
          <w:rPr>
            <w:color w:val="245579"/>
          </w:rPr>
          <w:t>Docker Compose 生产部署</w:t>
        </w:r>
      </w:hyperlink>
      <w:r>
        <w:t>：单服务器部署与生产配置。</w:t>
      </w:r>
    </w:p>
    <w:p>
      <w:pPr>
        <w:pStyle w:val="ListBullet"/>
        <w:spacing w:after="20"/>
      </w:pPr>
      <w:hyperlink r:id="rId26">
        <w:r>
          <w:rPr>
            <w:color w:val="245579"/>
          </w:rPr>
          <w:t>Node.js 支持周期</w:t>
        </w:r>
      </w:hyperlink>
      <w:r>
        <w:t>：Node 24 的 LTS 状态。</w:t>
      </w:r>
    </w:p>
    <w:p>
      <w:pPr>
        <w:pStyle w:val="ListBullet"/>
        <w:spacing w:after="20"/>
      </w:pPr>
      <w:hyperlink r:id="rId27">
        <w:r>
          <w:rPr>
            <w:color w:val="245579"/>
          </w:rPr>
          <w:t>HTTPX 超时</w:t>
        </w:r>
      </w:hyperlink>
      <w:r>
        <w:t>：连接、读取、写入和连接池超时的区别。</w:t>
      </w:r>
    </w:p>
    <w:p>
      <w:pPr>
        <w:pStyle w:val="ListBullet"/>
        <w:spacing w:after="20"/>
      </w:pPr>
      <w:hyperlink r:id="rId28">
        <w:r>
          <w:rPr>
            <w:color w:val="245579"/>
          </w:rPr>
          <w:t>restic 备份</w:t>
        </w:r>
      </w:hyperlink>
      <w:r>
        <w:t>：文件快照和备份命令，数据库一致性由另外的快照流程保证。</w:t>
      </w:r>
    </w:p>
    <w:p>
      <w:pPr>
        <w:pStyle w:val="ListBullet"/>
        <w:spacing w:after="20"/>
      </w:pPr>
      <w:hyperlink r:id="rId29">
        <w:r>
          <w:rPr>
            <w:color w:val="245579"/>
          </w:rPr>
          <w:t>LangGraph 工作流与 Agent 模式</w:t>
        </w:r>
      </w:hyperlink>
      <w:r>
        <w:t>：固定流程、路由、并行、动态工作分配与 Agent 循环的区别。</w:t>
      </w:r>
    </w:p>
    <w:p>
      <w:pPr>
        <w:pStyle w:val="ListBullet"/>
        <w:spacing w:after="20"/>
      </w:pPr>
      <w:hyperlink r:id="rId30">
        <w:r>
          <w:rPr>
            <w:color w:val="245579"/>
          </w:rPr>
          <w:t>LangChain 概览</w:t>
        </w:r>
      </w:hyperlink>
      <w:r>
        <w:t>：Agent 上层封装及与 LangGraph 的关系；框架能力不代表业务必须采用。</w:t>
      </w:r>
    </w:p>
    <w:sectPr w:rsidR="00FC693F" w:rsidRPr="0006063C" w:rsidSect="00034616">
      <w:footerReference w:type="default" r:id="rId31"/>
      <w:pgSz w:w="12240" w:h="15840"/>
      <w:pgMar w:top="979" w:right="1008" w:bottom="979" w:left="1008" w:header="720"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66666"/>
        <w:sz w:val="18"/>
      </w:rPr>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83" w:lineRule="auto" w:after="120"/>
    </w:pPr>
    <w:rPr>
      <w:rFonts w:ascii="Arial Unicode MS" w:hAnsi="Arial Unicode MS" w:eastAsia="Arial Unicode MS"/>
      <w:b w:val="0"/>
      <w:color w:val="111111"/>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280" w:after="120" w:line="283" w:lineRule="auto"/>
      <w:outlineLvl w:val="0"/>
    </w:pPr>
    <w:rPr>
      <w:rFonts w:ascii="Arial Unicode MS" w:hAnsi="Arial Unicode MS" w:eastAsia="Arial Unicode MS"/>
      <w:b/>
      <w:bCs/>
      <w:color w:val="111111"/>
      <w:sz w:val="30"/>
      <w:szCs w:val="28"/>
    </w:rPr>
  </w:style>
  <w:style w:type="paragraph" w:styleId="Heading2">
    <w:name w:val="heading 2"/>
    <w:basedOn w:val="Normal"/>
    <w:next w:val="Normal"/>
    <w:link w:val="Heading2Char"/>
    <w:uiPriority w:val="9"/>
    <w:unhideWhenUsed/>
    <w:qFormat/>
    <w:rsid w:val="00FC693F"/>
    <w:pPr>
      <w:keepNext/>
      <w:keepLines/>
      <w:widowControl/>
      <w:spacing w:before="180" w:after="120" w:line="283" w:lineRule="auto"/>
      <w:outlineLvl w:val="1"/>
    </w:pPr>
    <w:rPr>
      <w:rFonts w:ascii="Arial Unicode MS" w:hAnsi="Arial Unicode MS" w:eastAsia="Arial Unicode MS"/>
      <w:b/>
      <w:bCs/>
      <w:color w:val="11111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widowControl/>
      <w:spacing w:after="200" w:line="283" w:lineRule="auto"/>
      <w:contextualSpacing/>
    </w:pPr>
    <w:rPr>
      <w:rFonts w:ascii="Arial Unicode MS" w:hAnsi="Arial Unicode MS" w:eastAsia="Arial Unicode MS"/>
      <w:b/>
      <w:color w:val="111111"/>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widowControl/>
      <w:numPr>
        <w:numId w:val="1"/>
      </w:numPr>
      <w:spacing w:line="283" w:lineRule="auto" w:after="120"/>
      <w:contextualSpacing/>
    </w:pPr>
    <w:rPr>
      <w:rFonts w:ascii="Arial Unicode MS" w:hAnsi="Arial Unicode MS" w:eastAsia="Arial Unicode MS"/>
      <w:b w:val="0"/>
      <w:color w:val="111111"/>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djangoproject.com/download/" TargetMode="External"/><Relationship Id="rId10" Type="http://schemas.openxmlformats.org/officeDocument/2006/relationships/hyperlink" Target="https://docs.djangoproject.com/en/5.2/topics/auth/customizing/" TargetMode="External"/><Relationship Id="rId11" Type="http://schemas.openxmlformats.org/officeDocument/2006/relationships/hyperlink" Target="https://www.postgresql.org/support/versioning/" TargetMode="External"/><Relationship Id="rId12" Type="http://schemas.openxmlformats.org/officeDocument/2006/relationships/hyperlink" Target="https://docs.celeryq.dev/en/latest/userguide/tasks.html" TargetMode="External"/><Relationship Id="rId13" Type="http://schemas.openxmlformats.org/officeDocument/2006/relationships/hyperlink" Target="https://docs.celeryq.dev/en/stable/userguide/periodic-tasks.html" TargetMode="External"/><Relationship Id="rId14" Type="http://schemas.openxmlformats.org/officeDocument/2006/relationships/hyperlink" Target="https://fastapi.tiangolo.com/features/" TargetMode="External"/><Relationship Id="rId15" Type="http://schemas.openxmlformats.org/officeDocument/2006/relationships/hyperlink" Target="https://www.statsmodels.org/v0.13.5/generated/statsmodels.stats.proportion.confint_proportions_2indep.html" TargetMode="External"/><Relationship Id="rId16" Type="http://schemas.openxmlformats.org/officeDocument/2006/relationships/hyperlink" Target="https://docs.langchain.com/oss/python/langgraph/persistence" TargetMode="External"/><Relationship Id="rId17" Type="http://schemas.openxmlformats.org/officeDocument/2006/relationships/hyperlink" Target="https://docs.langchain.com/oss/python/langgraph/overview" TargetMode="External"/><Relationship Id="rId18" Type="http://schemas.openxmlformats.org/officeDocument/2006/relationships/hyperlink" Target="https://docs.djangoproject.com/en/5.2/releases/5.2/" TargetMode="External"/><Relationship Id="rId19" Type="http://schemas.openxmlformats.org/officeDocument/2006/relationships/hyperlink" Target="https://www.django-rest-framework.org/community/3.16-announcement/" TargetMode="External"/><Relationship Id="rId20" Type="http://schemas.openxmlformats.org/officeDocument/2006/relationships/hyperlink" Target="https://docs.celeryq.dev/en/stable/getting-started/backends-and-brokers/redis.html" TargetMode="External"/><Relationship Id="rId21" Type="http://schemas.openxmlformats.org/officeDocument/2006/relationships/hyperlink" Target="https://docs.pydantic.dev/latest/concepts/strict_mode/" TargetMode="External"/><Relationship Id="rId22" Type="http://schemas.openxmlformats.org/officeDocument/2006/relationships/hyperlink" Target="https://www.postgresql.org/docs/18/textsearch-controls.html" TargetMode="External"/><Relationship Id="rId23" Type="http://schemas.openxmlformats.org/officeDocument/2006/relationships/hyperlink" Target="https://vite.dev/guide/" TargetMode="External"/><Relationship Id="rId24" Type="http://schemas.openxmlformats.org/officeDocument/2006/relationships/hyperlink" Target="https://ant.design/docs/react/introduce/" TargetMode="External"/><Relationship Id="rId25" Type="http://schemas.openxmlformats.org/officeDocument/2006/relationships/hyperlink" Target="https://docs.docker.com/compose/how-tos/production/" TargetMode="External"/><Relationship Id="rId26" Type="http://schemas.openxmlformats.org/officeDocument/2006/relationships/hyperlink" Target="https://nodejs.org/en/about/previous-releases" TargetMode="External"/><Relationship Id="rId27" Type="http://schemas.openxmlformats.org/officeDocument/2006/relationships/hyperlink" Target="https://www.python-httpx.org/advanced/timeouts/" TargetMode="External"/><Relationship Id="rId28" Type="http://schemas.openxmlformats.org/officeDocument/2006/relationships/hyperlink" Target="https://restic.readthedocs.io/en/stable/040_backup.html" TargetMode="External"/><Relationship Id="rId29" Type="http://schemas.openxmlformats.org/officeDocument/2006/relationships/hyperlink" Target="https://docs.langchain.com/oss/python/langgraph/workflows-agents" TargetMode="External"/><Relationship Id="rId30" Type="http://schemas.openxmlformats.org/officeDocument/2006/relationships/hyperlink" Target="https://docs.langchain.com/oss/python/langchain/overview" TargetMode="External"/><Relationship Id="rId3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商品经营异常分诊与证据审计</dc:title>
  <dc:subject>总体技术设计与开发实施方案</dc:subject>
  <dc:creator/>
  <cp:keywords/>
  <dc:description/>
  <cp:lastModifiedBy/>
  <cp:revision>1</cp:revision>
  <dcterms:created xsi:type="dcterms:W3CDTF">2013-12-23T23:15:00Z</dcterms:created>
  <dcterms:modified xsi:type="dcterms:W3CDTF">2013-12-23T23:15:00Z</dcterms:modified>
  <cp:category/>
</cp:coreProperties>
</file>