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jc w:val="center"/>
      </w:pPr>
      <w:r>
        <w:rPr>
          <w:rFonts w:ascii="Noto Sans CJK SC" w:hAnsi="Noto Sans CJK SC" w:eastAsia="Noto Sans CJK SC" w:cs="Noto Sans CJK SC"/>
          <w:b/>
          <w:i w:val="0"/>
          <w:color w:val="4F6B8A"/>
          <w:sz w:val="22"/>
        </w:rPr>
        <w:t>产品战略 · 市场研究 · 用户洞察 · 数据体系</w:t>
      </w:r>
    </w:p>
    <w:p>
      <w:pPr>
        <w:spacing w:after="80"/>
        <w:jc w:val="center"/>
      </w:pPr>
      <w:r>
        <w:rPr>
          <w:rFonts w:ascii="Noto Sans CJK SC" w:hAnsi="Noto Sans CJK SC" w:eastAsia="Noto Sans CJK SC" w:cs="Noto Sans CJK SC"/>
          <w:b/>
          <w:i w:val="0"/>
          <w:color w:val="1F4D78"/>
          <w:sz w:val="60"/>
        </w:rPr>
        <w:t>PlanPilot</w:t>
      </w:r>
    </w:p>
    <w:p>
      <w:pPr>
        <w:spacing w:after="280"/>
        <w:jc w:val="center"/>
      </w:pPr>
      <w:r>
        <w:rPr>
          <w:rFonts w:ascii="Noto Sans CJK SC" w:hAnsi="Noto Sans CJK SC" w:eastAsia="Noto Sans CJK SC" w:cs="Noto Sans CJK SC"/>
          <w:b/>
          <w:i w:val="0"/>
          <w:color w:val="16212B"/>
          <w:sz w:val="36"/>
        </w:rPr>
        <w:t>产品战略与市场研究汇总报告</w:t>
      </w:r>
    </w:p>
    <w:p>
      <w:pPr>
        <w:spacing w:after="1800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667085"/>
          <w:sz w:val="22"/>
        </w:rPr>
        <w:t>基于 2026-08-24 当前代码、定向测试与公开证据</w:t>
      </w:r>
    </w:p>
    <w:p>
      <w:pPr>
        <w:jc w:val="center"/>
      </w:pPr>
      <w:r>
        <w:rPr>
          <w:rFonts w:ascii="Noto Sans CJK SC" w:hAnsi="Noto Sans CJK SC" w:eastAsia="Noto Sans CJK SC" w:cs="Noto Sans CJK SC"/>
          <w:b w:val="0"/>
          <w:i/>
          <w:color w:val="667085"/>
          <w:sz w:val="20"/>
        </w:rPr>
        <w:t>管理层 / 产品 / 研发 / 市场联合评审版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t>v1.2  ·  2026 年 8 月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阅读说明</w:t>
      </w:r>
    </w:p>
    <w:p>
      <w:pPr>
        <w:shd w:fill="F4F6F9"/>
        <w:pBdr>
          <w:top w:val="single" w:sz="5" w:space="6" w:color="B8C6D6"/>
          <w:left w:val="single" w:sz="5" w:space="6" w:color="B8C6D6"/>
          <w:bottom w:val="single" w:sz="5" w:space="6" w:color="B8C6D6"/>
          <w:right w:val="single" w:sz="5" w:space="6" w:color="B8C6D6"/>
        </w:pBdr>
        <w:spacing w:before="80" w:after="160" w:line="264" w:lineRule="auto"/>
        <w:ind w:left="115" w:right="115"/>
      </w:pPr>
      <w:r>
        <w:rPr>
          <w:rFonts w:ascii="Noto Sans CJK SC" w:hAnsi="Noto Sans CJK SC" w:eastAsia="Noto Sans CJK SC" w:cs="Noto Sans CJK SC"/>
        </w:rPr>
        <w:t>核心结论  PlanPilot 应定位为成年自主学习者的“可验证学习执行系统”。它不是给学习工具增加聊天框，而是在内容过剩、成人目标动态化与 Agent 可行动能力交汇后形成的个人学习编排层。当前代码已从“会建议”推进到可监督行动；长期壁垒仍必须来自恢复、证据和可治理记忆构成的纵向闭环，而不是自然语言工具调用本身。</w:t>
      </w:r>
    </w:p>
    <w:p>
      <w:pPr>
        <w:spacing w:after="12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本报告严格区分代码事实、公开市场证据、合成评测、产品判断和待验证假设。当前没有生产分析数据、真实访谈逐字稿或收入数据；合成用户不是用户研究。2026-08-24 定向测试为 68 通过、2 失败，Fast Gate 尚未全绿，因此本文不沿用“全部通过”的旧口径。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目录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一、执行摘要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二、真实产品与设计构想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三、市场机会与竞争格局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四、用户研究与核心需求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五、数据分析与指标体系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六、路线图与商业化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七、代码成熟度与风险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八、品类原理、技术窗口与创新边界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附录：资料来源与口径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一、执行摘要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1.1 产品判断</w:t>
      </w:r>
    </w:p>
    <w:p>
      <w:pPr>
        <w:spacing w:after="12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PlanPilot 当前已形成“目标—任务/日程—执行—打卡/验收—知识—学习记忆”的技术闭环，并把 Pilo 请求分成对话、澄清和行动。受支持的写操作进入 Action Run、ChangeSet Review、用户确认、执行回读和 Undo；真正的稀缺性仍是把行动结果、学习证据与可治理个性化连接起来。</w:t>
      </w:r>
    </w:p>
    <w:p>
      <w:pPr>
        <w:spacing w:after="12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但工程宽度尚未转化为市场验证。当前 Fast Gate 对模糊指代的合同仍不一致，合成模型评审也显示画像利用、规划可执行性和建议针对性偏低。下一阶段应先修复门禁与可见质量，再以白名单 Beta 证明 24 小时首次价值、偏差恢复和第 4 周闭环。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1.2 六项建议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首发仍聚焦在职证书/考试备考者；职业技能转型者作为第二场景。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首页以“今天最值得做什么”为价值面；Pilo 只承接需要语义消歧或跨对象权衡的行动。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先统一 Fast Gate 的模糊指代合同并提升回答质量，不以放宽安全门槛换取通过。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从 disabled/0% 的服务端控制起步，只在 fresh Gate 与 observed_clear 下开展白名单 Beta。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把 Action 路由、澄清、编辑、拒绝、撤销和 7 日结果回连到 WVLU 与恢复，不把执行成功率冒充学习价值。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把模型红利、可监督行动工程与领域闭环分开核算；用裸模型、无纵向记忆、机制消融和模型替换基线证明增量。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二、真实产品与设计构想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2.1 产品闭环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1550"/>
        <w:gridCol w:w="3300"/>
        <w:gridCol w:w="4510"/>
      </w:tblGrid>
      <w:tr>
        <w:trPr>
          <w:tblHeader w:val="true"/>
        </w:trPr>
        <w:tc>
          <w:tcPr>
            <w:tcW w:type="dxa" w:w="155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转化</w:t>
            </w:r>
          </w:p>
        </w:tc>
        <w:tc>
          <w:tcPr>
            <w:tcW w:type="dxa" w:w="3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用户问题</w:t>
            </w:r>
          </w:p>
        </w:tc>
        <w:tc>
          <w:tcPr>
            <w:tcW w:type="dxa" w:w="451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产品职责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意图 → 计划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想学，但不知道从哪里开始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将目标、约束和资料转成近期可执行路径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计划 → 行动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计划存在，但今天仍不知道做什么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给出单一主任务、时间块和最小完成标准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行动 → 掌握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做完了，不确定是否真的学会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用解释、练习或作品留下掌握证据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偏差 → 恢复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一天没完成，整份计划开始失效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记录原因、收缩或重排，72 小时内恢复行动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2.2 当前用户产品面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今日计划：当日任务、时间安排和完成状态。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目标管理：目标创建、编辑、详情、进度、任务与计划。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知识空间与学习笔记：资料上传/URL、知识库、检索、版本、笔记及目标/任务关联。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Pilo 学习伙伴：流式对话和对象上下文；明确任务动作进入原会话内的 Action Run 卡片，展示预览、风险、确认、执行与撤销。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学习记忆：作为 Pilo 的二级下钻页，展示画像、模式、证据与长期记忆，并支持查看、纠正、抑制或删除。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2.3 设计原则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原则</w:t>
            </w:r>
          </w:p>
        </w:tc>
        <w:tc>
          <w:tcPr>
            <w:tcW w:type="dxa" w:w="74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产品含义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行动优先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进入产品 30 秒内知道下一步，不先要求管理全部模块。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证据优先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重要判断给依据；证据不足时承认不知道。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恢复优先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计划偏差是系统输入，不是用户失败或羞耻标签。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用户主权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AI 写操作和长期记忆由用户确认、纠正与删除。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渐进智能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无模型时基础工作流可用；模型增强而不劫持工作流。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三、市场机会与竞争格局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3.1 市场信号</w:t>
      </w:r>
    </w:p>
    <w:p>
      <w:pPr>
        <w:spacing w:after="12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教育部 2025 年统计显示，中国各种形式高等教育在学总规模为 4,872.57 万人，成人本专科在校生 805.90 万人，自学考试学历教育报考 454.42 万人次。这些数字证明结构化自主学习场景广泛存在，但不能直接等同于 PlanPilot 的可服务市场。</w:t>
      </w:r>
    </w:p>
    <w:p>
      <w:pPr>
        <w:spacing w:after="12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世界经济论坛 2025 年调查显示，约 39% 的现有技能预计在 2025—2030 年间变化或过时，63% 的雇主把技能差距视为转型障碍，77% 计划通过技能提升应对 AI 影响。这支持职业再技能化的长期机会，但仍需用真实支付验证个人需求。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3.2 场景优先级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2600"/>
        <w:gridCol w:w="4300"/>
        <w:gridCol w:w="2460"/>
      </w:tblGrid>
      <w:tr>
        <w:trPr>
          <w:tblHeader w:val="true"/>
        </w:trPr>
        <w:tc>
          <w:tcPr>
            <w:tcW w:type="dxa" w:w="2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场景</w:t>
            </w:r>
          </w:p>
        </w:tc>
        <w:tc>
          <w:tcPr>
            <w:tcW w:type="dxa" w:w="4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机会判断</w:t>
            </w:r>
          </w:p>
        </w:tc>
        <w:tc>
          <w:tcPr>
            <w:tcW w:type="dxa" w:w="24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建议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在职证书/考试备考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痛点强、截止明确、当前闭环高度适配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首发滩头市场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职业技能转型/作品集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结果与收入相关，资料分散，作品验收有价值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第二核心场景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企业技能提升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预算高但权限、租户和销售交付复杂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先做 20—50 人试点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高校/K12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规模大但渠道、监护、内容安全和合规复杂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暂缓独立扩张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通用个人效率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竞争拥挤，学习差异被稀释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不作为主定位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3.3 竞品与差异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1600"/>
        <w:gridCol w:w="1600"/>
        <w:gridCol w:w="2800"/>
        <w:gridCol w:w="3360"/>
      </w:tblGrid>
      <w:tr>
        <w:trPr>
          <w:tblHeader w:val="true"/>
        </w:trPr>
        <w:tc>
          <w:tcPr>
            <w:tcW w:type="dxa" w:w="1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类别</w:t>
            </w:r>
          </w:p>
        </w:tc>
        <w:tc>
          <w:tcPr>
            <w:tcW w:type="dxa" w:w="1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代表</w:t>
            </w:r>
          </w:p>
        </w:tc>
        <w:tc>
          <w:tcPr>
            <w:tcW w:type="dxa" w:w="2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强项</w:t>
            </w:r>
          </w:p>
        </w:tc>
        <w:tc>
          <w:tcPr>
            <w:tcW w:type="dxa" w:w="3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PlanPilot 的机会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AI 日程/任务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Motion、Reclaim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自动排程与日历冲突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理解掌握、学习证据和偏差恢复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每日规划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Sunsama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仪式感与日计划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长期学习模型与验收闭环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知识工作区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Notion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文档、项目、知识与 Agent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默认即用的学习执行系统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AI Tutor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Khanmigo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教学设计与内容体系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跨来源、跨目标的长期执行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高频学习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Duolingo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内容与游戏化增长飞轮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用户自带目标和资料的开放闭环</w:t>
            </w:r>
          </w:p>
        </w:tc>
      </w:tr>
    </w:tbl>
    <w:p>
      <w:pPr>
        <w:spacing w:after="20"/>
      </w:pPr>
    </w:p>
    <w:p>
      <w:pPr>
        <w:shd w:fill="F4F6F9"/>
        <w:pBdr>
          <w:top w:val="single" w:sz="5" w:space="6" w:color="B8C6D6"/>
          <w:left w:val="single" w:sz="5" w:space="6" w:color="B8C6D6"/>
          <w:bottom w:val="single" w:sz="5" w:space="6" w:color="B8C6D6"/>
          <w:right w:val="single" w:sz="5" w:space="6" w:color="B8C6D6"/>
        </w:pBdr>
        <w:spacing w:before="80" w:after="160" w:line="264" w:lineRule="auto"/>
        <w:ind w:left="115" w:right="115"/>
      </w:pPr>
      <w:r>
        <w:rPr>
          <w:rFonts w:ascii="Noto Sans CJK SC" w:hAnsi="Noto Sans CJK SC" w:eastAsia="Noto Sans CJK SC" w:cs="Noto Sans CJK SC"/>
          <w:b/>
          <w:i w:val="0"/>
          <w:color w:val="1F4D78"/>
          <w:sz w:val="21"/>
        </w:rPr>
        <w:t xml:space="preserve">建议定位  </w:t>
      </w: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PlanPilot 是会随学习证据调整的 AI 学习执行系统。它不只帮你列计划，还帮助你每天开始、在中断后恢复，并确认自己真正掌握了什么。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四、用户研究与核心需求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4.1 首要用户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2200"/>
        <w:gridCol w:w="4200"/>
        <w:gridCol w:w="2960"/>
      </w:tblGrid>
      <w:tr>
        <w:trPr>
          <w:tblHeader w:val="true"/>
        </w:trPr>
        <w:tc>
          <w:tcPr>
            <w:tcW w:type="dxa" w:w="22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用户</w:t>
            </w:r>
          </w:p>
        </w:tc>
        <w:tc>
          <w:tcPr>
            <w:tcW w:type="dxa" w:w="42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典型处境</w:t>
            </w:r>
          </w:p>
        </w:tc>
        <w:tc>
          <w:tcPr>
            <w:tcW w:type="dxa" w:w="29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付费动机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在职备考者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3—12 个月目标，工作日时间波动，已有课程资料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减少计划维护与放弃风险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职业转型者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2—6 个月技能/作品目标，资料跨平台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更快形成可展示成果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隐私型技术用户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愿配置本地模型，要求数据可控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本地优先、透明记忆和可扩展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4.2 核心 JTBD</w:t>
      </w:r>
    </w:p>
    <w:p>
      <w:pPr>
        <w:shd w:fill="F4F6F9"/>
        <w:pBdr>
          <w:top w:val="single" w:sz="5" w:space="6" w:color="B8C6D6"/>
          <w:left w:val="single" w:sz="5" w:space="6" w:color="B8C6D6"/>
          <w:bottom w:val="single" w:sz="5" w:space="6" w:color="B8C6D6"/>
          <w:right w:val="single" w:sz="5" w:space="6" w:color="B8C6D6"/>
        </w:pBdr>
        <w:spacing w:before="80" w:after="160" w:line="264" w:lineRule="auto"/>
        <w:ind w:left="115" w:right="115"/>
      </w:pPr>
      <w:r>
        <w:rPr>
          <w:rFonts w:ascii="Noto Sans CJK SC" w:hAnsi="Noto Sans CJK SC" w:eastAsia="Noto Sans CJK SC" w:cs="Noto Sans CJK SC"/>
          <w:b/>
          <w:i w:val="0"/>
          <w:color w:val="1F4D78"/>
          <w:sz w:val="21"/>
        </w:rPr>
        <w:t xml:space="preserve">用户任务  </w:t>
      </w: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当我有一个重要但长期的学习目标，而现实时间不断变化时，我希望系统持续告诉我现在最值得做什么、做多少才算有效，并在我落后时帮我恢复，这样我能在截止日前形成真实能力，而不是只维护计划表。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4.3 研究计划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问题发现：访谈 15—18 人，走查最近 14 天真实计划、日历、资料和中断事件。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概念验证：测试两周滚动计划、三档恢复和关键任务轻验收。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封闭 Beta：30—50 名带真实截止日期或作品里程碑的用户，连续观察 4—6 周。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付费验证：只向已激活用户展示真实价格，记录支付、退款、暂停和取消原因。</w:t>
      </w:r>
    </w:p>
    <w:p>
      <w:pPr>
        <w:spacing w:after="12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研究纪律：不把“喜欢 AI”当价值，不问抽象使用意愿；观察最近一次真实行为，保留反证，并将用户原话、研究解释和产品决策分开记录。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五、数据分析与指标体系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5.1 当前代码资产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3000"/>
        <w:gridCol w:w="1300"/>
        <w:gridCol w:w="5060"/>
      </w:tblGrid>
      <w:tr>
        <w:trPr>
          <w:tblHeader w:val="true"/>
        </w:trPr>
        <w:tc>
          <w:tcPr>
            <w:tcW w:type="dxa" w:w="30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静态指标</w:t>
            </w:r>
          </w:p>
        </w:tc>
        <w:tc>
          <w:tcPr>
            <w:tcW w:type="dxa" w:w="1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实测值</w:t>
            </w:r>
          </w:p>
        </w:tc>
        <w:tc>
          <w:tcPr>
            <w:tcW w:type="dxa" w:w="50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解释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FastAPI 路由装饰器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175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业务与运营接口覆盖广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ORM 模型/表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75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学习、Agent、Beta、评测与隐私模型丰富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Alembic 迁移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60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数据库持续演进并受迁移管理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后端测试函数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521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含顶层函数与测试类方法；当前并非全部通过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前端 E2E 声明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186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含 test 与 skip/only/fixme 声明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Studio 页面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12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用户工作区覆盖主线与扩展能力</w:t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数量只代表代码覆盖面。当前定向测试 68 通过、2 失败；120 场合成预检的硬安全与基础设施门禁通过，但独立模型评审的画像利用 0.933/4、规划可执行性 1.342/4、建议针对性 1.833/4。两者都不能替代真实用户价值。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5.2 北极星与漏斗</w:t>
      </w:r>
    </w:p>
    <w:p>
      <w:pPr>
        <w:shd w:fill="F4F6F9"/>
        <w:pBdr>
          <w:top w:val="single" w:sz="5" w:space="6" w:color="B8C6D6"/>
          <w:left w:val="single" w:sz="5" w:space="6" w:color="B8C6D6"/>
          <w:bottom w:val="single" w:sz="5" w:space="6" w:color="B8C6D6"/>
          <w:right w:val="single" w:sz="5" w:space="6" w:color="B8C6D6"/>
        </w:pBdr>
        <w:spacing w:before="80" w:after="160" w:line="264" w:lineRule="auto"/>
        <w:ind w:left="115" w:right="115"/>
      </w:pPr>
      <w:r>
        <w:rPr>
          <w:rFonts w:ascii="Noto Sans CJK SC" w:hAnsi="Noto Sans CJK SC" w:eastAsia="Noto Sans CJK SC" w:cs="Noto Sans CJK SC"/>
          <w:b/>
          <w:i w:val="0"/>
          <w:color w:val="1F4D78"/>
          <w:sz w:val="21"/>
        </w:rPr>
        <w:t xml:space="preserve">北极星  </w:t>
      </w: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每周完成可验证学习闭环的活跃用户数（WVLU）：用户在一个真实目标下执行计划任务，并在同一周留下掌握证据或完成结构化复盘。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1500"/>
        <w:gridCol w:w="3400"/>
        <w:gridCol w:w="4460"/>
      </w:tblGrid>
      <w:tr>
        <w:trPr>
          <w:tblHeader w:val="true"/>
        </w:trPr>
        <w:tc>
          <w:tcPr>
            <w:tcW w:type="dxa" w:w="1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阶段</w:t>
            </w:r>
          </w:p>
        </w:tc>
        <w:tc>
          <w:tcPr>
            <w:tcW w:type="dxa" w:w="34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核心指标</w:t>
            </w:r>
          </w:p>
        </w:tc>
        <w:tc>
          <w:tcPr>
            <w:tcW w:type="dxa" w:w="44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重点判断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获取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渠道到合格目标率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是否吸引有真实长期目标的人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激活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24h 首个行动 + 证据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是否快速交付首次价值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参与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有效学习日、恢复率、证据覆盖率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是否改善执行和偏差恢复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留存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W1/W4/W8 WVLU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是否反复形成完整价值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商业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激活后转付费、付费留存、成本/WVLU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价值与单元经济是否成立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5.3 首轮实验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4300"/>
        <w:gridCol w:w="2600"/>
        <w:gridCol w:w="2460"/>
      </w:tblGrid>
      <w:tr>
        <w:trPr>
          <w:tblHeader w:val="true"/>
        </w:trPr>
        <w:tc>
          <w:tcPr>
            <w:tcW w:type="dxa" w:w="4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实验</w:t>
            </w:r>
          </w:p>
        </w:tc>
        <w:tc>
          <w:tcPr>
            <w:tcW w:type="dxa" w:w="2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主指标</w:t>
            </w:r>
          </w:p>
        </w:tc>
        <w:tc>
          <w:tcPr>
            <w:tcW w:type="dxa" w:w="24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护栏</w:t>
            </w:r>
          </w:p>
        </w:tc>
      </w:tr>
      <w:tr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两周滚动计划 vs 全周期展开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24h 激活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计划可信度</w:t>
            </w:r>
          </w:p>
        </w:tc>
      </w:tr>
      <w:tr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单一主任务 vs 多任务列表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首次启动时间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当日总完成量</w:t>
            </w:r>
          </w:p>
        </w:tc>
      </w:tr>
      <w:tr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三档恢复 vs 手工重排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72h 恢复率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撤销与负面反馈</w:t>
            </w:r>
          </w:p>
        </w:tc>
      </w:tr>
      <w:tr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关键任务轻验收 vs 无验收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7 日证据、W4 WVLU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完成率与模型成本</w:t>
            </w:r>
          </w:p>
        </w:tc>
      </w:tr>
      <w:tr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记忆证据解释 vs 仅结论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建议接受与纠正质量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页面负担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六、路线图与商业化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6.1 0—3 个月：修复门禁并证明首个闭环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统一模糊指代的产品合同，让 Fast Gate 全绿，并重跑与当前部署绑定的 Runtime Gate。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优先改善画像利用、建议针对性、规划可执行性与安全拒绝解释，不降低硬安全阈值。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从 disabled/allowlist/0% 起步；先做少量白名单研究，fresh Gate 与 observed_clear 后才考虑 5%。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保留首登、两周滚动计划、今日单一主任务、三档恢复和 30—90 秒轻验收。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让高影响记忆展示证据、置信度、影响与删除入口；尊重个性化同意硬门禁。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把 Action 漏斗与激活、WVLU、恢复、7 日结果和模型成本连接成最小证据闭环。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6.2 3—6 个月：证明留存与付费</w:t>
      </w:r>
    </w:p>
    <w:p>
      <w:pPr>
        <w:spacing w:after="12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围绕备考和职业项目提供目标模板，增加周复盘与风险解释；连接资料、笔记和验收证据；建立模型成本预算；只对激活用户展示真实付费墙。个人 Pro 可从人民币 29/49/69 元三个价格点实验，价格是待验证假设。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6.3 6—12 个月：选择一条扩张路径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2600"/>
        <w:gridCol w:w="3200"/>
        <w:gridCol w:w="3560"/>
      </w:tblGrid>
      <w:tr>
        <w:trPr>
          <w:tblHeader w:val="true"/>
        </w:trPr>
        <w:tc>
          <w:tcPr>
            <w:tcW w:type="dxa" w:w="2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路径</w:t>
            </w:r>
          </w:p>
        </w:tc>
        <w:tc>
          <w:tcPr>
            <w:tcW w:type="dxa" w:w="32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前置证据</w:t>
            </w:r>
          </w:p>
        </w:tc>
        <w:tc>
          <w:tcPr>
            <w:tcW w:type="dxa" w:w="35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扩张内容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个人学习操作系统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个人 W8 留存与自然传播强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外部资料/日历、作品证据、桌面包装、模板生态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小团队技能提升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有预算方、结果指标和短销售周期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租户权限、SSO、聚合成效、内容包与审计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6.4 明确不做</w:t>
      </w:r>
    </w:p>
    <w:p>
      <w:pPr>
        <w:spacing w:after="12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近期不建设社交动态、排行榜、完整 LMS、大规模自建课程题库、未成年人独立使用，也不进行与核心闭环无关的大范围视觉重构。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七、代码成熟度与风险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7.1 成熟度判断</w:t>
      </w:r>
    </w:p>
    <w:p>
      <w:pPr>
        <w:shd w:fill="F4F6F9"/>
        <w:pBdr>
          <w:top w:val="single" w:sz="5" w:space="6" w:color="B8C6D6"/>
          <w:left w:val="single" w:sz="5" w:space="6" w:color="B8C6D6"/>
          <w:bottom w:val="single" w:sz="5" w:space="6" w:color="B8C6D6"/>
          <w:right w:val="single" w:sz="5" w:space="6" w:color="B8C6D6"/>
        </w:pBdr>
        <w:spacing w:before="80" w:after="160" w:line="264" w:lineRule="auto"/>
        <w:ind w:left="115" w:right="115"/>
      </w:pPr>
      <w:r>
        <w:rPr>
          <w:rFonts w:ascii="Noto Sans CJK SC" w:hAnsi="Noto Sans CJK SC" w:eastAsia="Noto Sans CJK SC" w:cs="Noto Sans CJK SC"/>
          <w:b/>
          <w:i w:val="0"/>
          <w:color w:val="1F4D78"/>
          <w:sz w:val="21"/>
        </w:rPr>
        <w:t>总体结论  工程产品化约处于 L3，市场证据仍处于 L0—L1。账户、学习域和 Agent 2.5 行动治理有真实代码与测试，但 Fast Gate 仍有红项，且缺少真实留存、学习效果、付费、外部集成和生产 SLA；最准确的定位仍是治理较深的开发者预览版。</w:t>
      </w: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3300"/>
        <w:gridCol w:w="1500"/>
        <w:gridCol w:w="4560"/>
      </w:tblGrid>
      <w:tr>
        <w:trPr>
          <w:tblHeader w:val="true"/>
        </w:trPr>
        <w:tc>
          <w:tcPr>
            <w:tcW w:type="dxa" w:w="3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能力域</w:t>
            </w:r>
          </w:p>
        </w:tc>
        <w:tc>
          <w:tcPr>
            <w:tcW w:type="dxa" w:w="1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成熟度</w:t>
            </w:r>
          </w:p>
        </w:tc>
        <w:tc>
          <w:tcPr>
            <w:tcW w:type="dxa" w:w="45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D78"/>
                <w:sz w:val="18"/>
              </w:rPr>
              <w:t>关键缺口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账户/目标/任务/日程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L3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真实交付、外部日历与用户验证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知识/笔记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L3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Embedding 门槛、容量与检索质量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Pilo / Agent 2.5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L3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Fast Gate 红项、回答质量与真实 Beta 结果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学习者模型/记忆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L3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真实样本校准、误判率与用户理解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隐私与运营治理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L3 骨架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法律文本、运营流程和生产证据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部署与安装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L2—L3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6212B"/>
                <w:sz w:val="18"/>
              </w:rPr>
              <w:t>一键安装、公开许可证、SLA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7.2 关键风险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Beta 治理与合成评测能力超前，但真实用户价值证据滞后。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当前是五个一级业务入口、账户设置与记忆二级页；首登仍可能先整理系统、后开始学习。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游客本地数据与登录后云端数据存在可靠性和同步认知差。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冻结 Fast Gate 与当前模糊指代行为不一致，历史阶段结论也可能造成外部口径冲突。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本地可运行仍需要 Docker、模型和 Embedding 配置，不等于本地易用。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7.3 发布前验证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先修复 reference-01 合同不一致，重跑 Fast Gate；Runtime Gate 必须绑定当前代码、迁移与部署且未过期。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在干净机器运行核心后端测试、前端 E2E、迁移、Docker/生产构建及无 AI、云 AI、本地 AI 三条路径。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模拟模型/Embedding/Redis 中断、旧 ChangeSet、重复批准、并发冲突和 Worker 重启。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验证游客升级、换设备、隐私撤回、数据导出/删除，以及 kill switch 后已有 Run 可读与 Undo。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用白名单真实目标连续四周，人工复核错误行动、漏掉行动、澄清、编辑、拒绝、撤销与 7 日结果。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八、品类原理、技术窗口与创新边界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8.1 为什么这类产品会在此时出现</w:t>
      </w:r>
    </w:p>
    <w:p>
      <w:pPr/>
      <w:r>
        <w:rPr>
          <w:rFonts w:ascii="Noto Sans CJK SC" w:hAnsi="Noto Sans CJK SC" w:eastAsia="Noto Sans CJK SC" w:cs="Noto Sans CJK SC"/>
        </w:rPr>
        <w:t>过去十多年，课程平台解决内容分发，日历和 Todo 解决任务记录，知识库解决资料保存，封闭式学习 App 在自有内容内安排练习。但成年自主学习越来越像一个跨平台项目：目标来自考试或职业现实，资料来自多个来源，时间持续波动，结果又需要考试、作品或能力证据确认。用户不得不亲自承担目标拆解、资料排序、时间安排、偏差处理和结果验证，这构成了长期存在但过去难以自动化的“学习编排税”。</w:t>
      </w:r>
    </w:p>
    <w:p>
      <w:pPr/>
      <w:r>
        <w:rPr>
          <w:rFonts w:ascii="Noto Sans CJK SC" w:hAnsi="Noto Sans CJK SC" w:eastAsia="Noto Sans CJK SC" w:cs="Noto Sans CJK SC"/>
        </w:rPr>
        <w:t>生成式 AI 降低了内容解释和初版计划成本，反而让选择、执行与验证更稀缺；同时，模型开始能把自然语言、个人资料和软件动作连接起来。这使一个跨内容、跨时间的个体执行层第一次在技术和成本上开始可行。PlanPilot 的价值单位因此不应是一条回复或一次计划生成，而应是一次有证据、可恢复、能够影响下一步的目标状态变化。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8.2 它抓住的技术不是单点能力，而是能力连接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开放语义理解把模糊目标、约束和资料转成里程碑、任务候选与解释。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结构化输出和工具调用把模型建议接入可校验的任务、日期、计划和审批对象；结构正确仍不代表语义正确。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RAG 与 Embedding 让系统使用用户自有资料并保留来源，而不是只依赖模型参数。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Agent 反馈循环让系统能计划、行动、观察和调整，也同时带来延迟、成本和累积错误。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外部长期记忆让跨周期个性化成为可能，但“保存记忆”不等于模型已经学会用户，更不等于推断正确。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多模型与本地推理提供成本、隐私和可用性选择，使基础工作流不必绑定单一供应商。</w:t>
      </w:r>
    </w:p>
    <w:p>
      <w:pPr/>
      <w:r>
        <w:rPr>
          <w:rFonts w:ascii="Noto Sans CJK SC" w:hAnsi="Noto Sans CJK SC" w:eastAsia="Noto Sans CJK SC" w:cs="Noto Sans CJK SC"/>
        </w:rPr>
        <w:t>真正重要的是语义层接上状态层：模型负责理解、检索和生成候选；确定性系统负责事实、约束、权限、幂等和审计；用户负责目标、取舍和高影响确认。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8.3 产品为什么必须设计成现在的形态</w:t>
      </w:r>
    </w:p>
    <w:p>
      <w:pPr/>
      <w:r>
        <w:rPr>
          <w:rFonts w:ascii="Noto Sans CJK SC" w:hAnsi="Noto Sans CJK SC" w:eastAsia="Noto Sans CJK SC" w:cs="Noto Sans CJK SC"/>
          <w:b/>
        </w:rPr>
        <w:t xml:space="preserve">今日而非聊天作为主价值面。 </w:t>
      </w:r>
      <w:r>
        <w:rPr>
          <w:rFonts w:ascii="Noto Sans CJK SC" w:hAnsi="Noto Sans CJK SC" w:eastAsia="Noto Sans CJK SC" w:cs="Noto Sans CJK SC"/>
        </w:rPr>
        <w:t>长期学习最频繁的决策是“现在做什么”。对话适合表达歧义和协商例外，但不适合作为长期事实系统。</w:t>
      </w:r>
    </w:p>
    <w:p>
      <w:pPr/>
      <w:r>
        <w:rPr>
          <w:rFonts w:ascii="Noto Sans CJK SC" w:hAnsi="Noto Sans CJK SC" w:eastAsia="Noto Sans CJK SC" w:cs="Noto Sans CJK SC"/>
          <w:b/>
        </w:rPr>
        <w:t xml:space="preserve">两周滚动而非一次生成全年计划。 </w:t>
      </w:r>
      <w:r>
        <w:rPr>
          <w:rFonts w:ascii="Noto Sans CJK SC" w:hAnsi="Noto Sans CJK SC" w:eastAsia="Noto Sans CJK SC" w:cs="Noto Sans CJK SC"/>
        </w:rPr>
        <w:t>计划期限越长，不确定性越高；滚动校准比制造精确错觉更符合成人时间波动。</w:t>
      </w:r>
    </w:p>
    <w:p>
      <w:pPr/>
      <w:r>
        <w:rPr>
          <w:rFonts w:ascii="Noto Sans CJK SC" w:hAnsi="Noto Sans CJK SC" w:eastAsia="Noto Sans CJK SC" w:cs="Noto Sans CJK SC"/>
          <w:b/>
        </w:rPr>
        <w:t xml:space="preserve">偏差恢复成为一等对象。 </w:t>
      </w:r>
      <w:r>
        <w:rPr>
          <w:rFonts w:ascii="Noto Sans CJK SC" w:hAnsi="Noto Sans CJK SC" w:eastAsia="Noto Sans CJK SC" w:cs="Noto Sans CJK SC"/>
        </w:rPr>
        <w:t>未完成不是单纯异常，而是时长估计、任务粒度、资料依赖或现实优先级变化的新观测。</w:t>
      </w:r>
    </w:p>
    <w:p>
      <w:pPr/>
      <w:r>
        <w:rPr>
          <w:rFonts w:ascii="Noto Sans CJK SC" w:hAnsi="Noto Sans CJK SC" w:eastAsia="Noto Sans CJK SC" w:cs="Noto Sans CJK SC"/>
          <w:b/>
        </w:rPr>
        <w:t xml:space="preserve">完成与掌握分离。 </w:t>
      </w:r>
      <w:r>
        <w:rPr>
          <w:rFonts w:ascii="Noto Sans CJK SC" w:hAnsi="Noto Sans CJK SC" w:eastAsia="Noto Sans CJK SC" w:cs="Noto Sans CJK SC"/>
        </w:rPr>
        <w:t>完成是确定业务事件，掌握是基于证据的不确定判断；模型可以辅助评价，不能宣布不可质疑的事实。</w:t>
      </w:r>
    </w:p>
    <w:p>
      <w:pPr/>
      <w:r>
        <w:rPr>
          <w:rFonts w:ascii="Noto Sans CJK SC" w:hAnsi="Noto Sans CJK SC" w:eastAsia="Noto Sans CJK SC" w:cs="Noto Sans CJK SC"/>
          <w:b/>
        </w:rPr>
        <w:t xml:space="preserve">学习记忆可见、可改、可删。 </w:t>
      </w:r>
      <w:r>
        <w:rPr>
          <w:rFonts w:ascii="Noto Sans CJK SC" w:hAnsi="Noto Sans CJK SC" w:eastAsia="Noto Sans CJK SC" w:cs="Noto Sans CJK SC"/>
        </w:rPr>
        <w:t>长期个性化天然会推断能力、习惯和弱点，用户治理既保护主权，也是系统获得纠错信号的方式。</w:t>
      </w:r>
    </w:p>
    <w:p>
      <w:pPr/>
      <w:r>
        <w:rPr>
          <w:rFonts w:ascii="Noto Sans CJK SC" w:hAnsi="Noto Sans CJK SC" w:eastAsia="Noto Sans CJK SC" w:cs="Noto Sans CJK SC"/>
          <w:b/>
        </w:rPr>
        <w:t xml:space="preserve">保留无 AI 基础路径。 </w:t>
      </w:r>
      <w:r>
        <w:rPr>
          <w:rFonts w:ascii="Noto Sans CJK SC" w:hAnsi="Noto Sans CJK SC" w:eastAsia="Noto Sans CJK SC" w:cs="Noto Sans CJK SC"/>
        </w:rPr>
        <w:t>模型具有概率性、延迟、成本和供应变化，已确认的业务状态不能因模型不可用而失效。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8.4 它可能改变的用户行为</w:t>
      </w:r>
    </w:p>
    <w:p>
      <w:pPr/>
      <w:r>
        <w:rPr>
          <w:rFonts w:ascii="Noto Sans CJK SC" w:hAnsi="Noto Sans CJK SC" w:eastAsia="Noto Sans CJK SC" w:cs="Noto Sans CJK SC"/>
        </w:rPr>
        <w:t>这类产品可能把用户从“手工维护每一步”转变为“声明目标与约束、审查候选方案、用行动结果持续校正”；把“按原计划执行”转变为“把偏差作为输入并滚动恢复”；把“用完成数量证明努力”转变为“在关键节点留下理解、练习或作品证据”。</w:t>
      </w:r>
    </w:p>
    <w:p>
      <w:pPr/>
      <w:r>
        <w:rPr>
          <w:rFonts w:ascii="Noto Sans CJK SC" w:hAnsi="Noto Sans CJK SC" w:eastAsia="Noto Sans CJK SC" w:cs="Noto Sans CJK SC"/>
        </w:rPr>
        <w:t>正向变化同时伴随计划能力退化、自动化偏误、错误标签固化、确认疲劳和过度量化风险。产品必须减少用户维护计划的劳动，但不能替用户拥有目标；可以帮助用户看到模式，但不能把概率推断变成身份判断。成功不看停留时长，而看维护负担、偏差停滞时长、证据质量和用户纠正后的校准改善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8.5 模型红利、产品化工程与真正创新</w:t>
      </w:r>
    </w:p>
    <w:p>
      <w:pPr/>
      <w:r>
        <w:rPr>
          <w:rFonts w:ascii="Noto Sans CJK SC" w:hAnsi="Noto Sans CJK SC" w:eastAsia="Noto Sans CJK SC" w:cs="Noto Sans CJK SC"/>
          <w:b/>
        </w:rPr>
        <w:t xml:space="preserve">模型能力红利。 </w:t>
      </w:r>
      <w:r>
        <w:rPr>
          <w:rFonts w:ascii="Noto Sans CJK SC" w:hAnsi="Noto Sans CJK SC" w:eastAsia="Noto Sans CJK SC" w:cs="Noto Sans CJK SC"/>
        </w:rPr>
        <w:t>更好的聊天、总结、计划草案、出题、语义检索和工具选择会随基础模型升级扩散，通常不能构成长久壁垒。</w:t>
      </w:r>
    </w:p>
    <w:p>
      <w:pPr/>
      <w:r>
        <w:rPr>
          <w:rFonts w:ascii="Noto Sans CJK SC" w:hAnsi="Noto Sans CJK SC" w:eastAsia="Noto Sans CJK SC" w:cs="Noto Sans CJK SC"/>
          <w:b/>
        </w:rPr>
        <w:t>产品化工程。 NeedFrame/ActionIntent、上下文组装、ChangeSet Review、哈希/版本绑定、审批、回读、撤销、Beta kill switch、成本路由和评测能形成质量差，但会被同类逐步追赶。</w:t>
      </w:r>
      <w:r>
        <w:rPr>
          <w:rFonts w:ascii="Noto Sans CJK SC" w:hAnsi="Noto Sans CJK SC" w:eastAsia="Noto Sans CJK SC" w:cs="Noto Sans CJK SC"/>
        </w:rPr>
      </w:r>
    </w:p>
    <w:p>
      <w:pPr/>
      <w:r>
        <w:rPr>
          <w:rFonts w:ascii="Noto Sans CJK SC" w:hAnsi="Noto Sans CJK SC" w:eastAsia="Noto Sans CJK SC" w:cs="Noto Sans CJK SC"/>
          <w:b/>
        </w:rPr>
        <w:t xml:space="preserve">潜在领域创新。 </w:t>
      </w:r>
      <w:r>
        <w:rPr>
          <w:rFonts w:ascii="Noto Sans CJK SC" w:hAnsi="Noto Sans CJK SC" w:eastAsia="Noto Sans CJK SC" w:cs="Noto Sans CJK SC"/>
        </w:rPr>
        <w:t>偏差恢复、完成与掌握分离、可治理学习记忆，以及目标—行动—证据—恢复—记忆的闭环，只有在纵向实验中证明改变结果并持续提高校准后，才可能成为壁垒。</w:t>
      </w:r>
    </w:p>
    <w:p>
      <w:pPr/>
      <w:r>
        <w:rPr>
          <w:rFonts w:ascii="Noto Sans CJK SC" w:hAnsi="Noto Sans CJK SC" w:eastAsia="Noto Sans CJK SC" w:cs="Noto Sans CJK SC"/>
        </w:rPr>
        <w:t>当前 Pilo 对话、AI 计划、RAG、多模型和本地模型属于基础能力或产品化；Agent 2.5 的可监督行动与 Beta 治理属于较强工程差异，但不是学习领域独家创新。Insight→Action→Outcome 只有在真实纵向数据中改善恢复、证据和校准后，才可能形成干预知识。当前 Fast Gate 红项和偏低的合成回答质量说明创新尚未成立。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8.6 对 Roadmap 和商业决策的约束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必须拥有：学习目标状态、恢复策略、掌握证据语义、干预决策记录和可治理记忆。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可以租用：基础模型、Embedding、语音、OCR 和通用内容生成能力。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应当连接：日历、课程资料、笔记库、作品平台和考试或练习结果。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每项 AI 功能用裸模型基线、无纵向记忆基线、机制消融和模型替换基线验证增量。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最小数据资产不是聊天原文，而是当时约束、NeedFrame/ActionIntent、ChangeSet/Review、用户编辑或确认、真实行动、回读、证据结果与后续纠正组成的决策轨迹。</w:t>
      </w:r>
    </w:p>
    <w:p>
      <w:pPr/>
      <w:r>
        <w:rPr>
          <w:rFonts w:ascii="Noto Sans CJK SC" w:hAnsi="Noto Sans CJK SC" w:eastAsia="Noto Sans CJK SC" w:cs="Noto Sans CJK SC"/>
        </w:rPr>
        <w:t>管理层应把“通用聊天模型加简单日历连接是否能取得相同四周结果”作为持续反事实。若答案是能，PlanPilot 没有形成独立产品价值；若纵向恢复、证据和记忆机制产生稳定增量，才说明产品正在从模型包装走向领域系统。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附录：资料来源与口径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A. 公开来源</w:t>
      </w:r>
    </w:p>
    <w:p>
      <w:pPr>
        <w:spacing w:after="80"/>
        <w:ind w:left="259"/>
      </w:pPr>
      <w:r>
        <w:rPr>
          <w:rFonts w:ascii="Noto Sans CJK SC" w:hAnsi="Noto Sans CJK SC" w:eastAsia="Noto Sans CJK SC" w:cs="Noto Sans CJK SC"/>
          <w:b/>
          <w:i w:val="0"/>
          <w:color w:val="1F4D78"/>
          <w:sz w:val="18"/>
        </w:rPr>
        <w:t>教育部《2025 年全国教育事业发展统计公报》：</w:t>
      </w:r>
      <w:r>
        <w:rPr>
          <w:rFonts w:ascii="Noto Sans CJK SC" w:hAnsi="Noto Sans CJK SC" w:eastAsia="Noto Sans CJK SC" w:cs="Noto Sans CJK SC"/>
          <w:b w:val="0"/>
          <w:i w:val="0"/>
          <w:color w:val="667085"/>
          <w:sz w:val="17"/>
        </w:rPr>
        <w:t>https://www.moe.gov.cn/jyb_sjzl/sjzl_fztjgb/202607/t20260706_1442870.html</w:t>
      </w:r>
    </w:p>
    <w:p>
      <w:pPr>
        <w:spacing w:after="80"/>
        <w:ind w:left="259"/>
      </w:pPr>
      <w:r>
        <w:rPr>
          <w:rFonts w:ascii="Noto Sans CJK SC" w:hAnsi="Noto Sans CJK SC" w:eastAsia="Noto Sans CJK SC" w:cs="Noto Sans CJK SC"/>
          <w:b/>
          <w:i w:val="0"/>
          <w:color w:val="1F4D78"/>
          <w:sz w:val="18"/>
        </w:rPr>
        <w:t>World Economic Forum, Future of Jobs Report 2025：</w:t>
      </w:r>
      <w:r>
        <w:rPr>
          <w:rFonts w:ascii="Noto Sans CJK SC" w:hAnsi="Noto Sans CJK SC" w:eastAsia="Noto Sans CJK SC" w:cs="Noto Sans CJK SC"/>
          <w:b w:val="0"/>
          <w:i w:val="0"/>
          <w:color w:val="667085"/>
          <w:sz w:val="17"/>
        </w:rPr>
        <w:t>https://www.weforum.org/press/2025/01/future-of-jobs-report-2025-78-million-new-job-opportunities-by-2030-but-urgent-upskilling-needed-to-prepare-workforces/</w:t>
      </w:r>
    </w:p>
    <w:p>
      <w:pPr>
        <w:spacing w:after="80"/>
        <w:ind w:left="259"/>
      </w:pPr>
      <w:r>
        <w:rPr>
          <w:rFonts w:ascii="Noto Sans CJK SC" w:hAnsi="Noto Sans CJK SC" w:eastAsia="Noto Sans CJK SC" w:cs="Noto Sans CJK SC"/>
          <w:b/>
          <w:i w:val="0"/>
          <w:color w:val="1F4D78"/>
          <w:sz w:val="18"/>
        </w:rPr>
        <w:t>UNESCO, Guidance for Generative AI in Education and Research：</w:t>
      </w:r>
      <w:r>
        <w:rPr>
          <w:rFonts w:ascii="Noto Sans CJK SC" w:hAnsi="Noto Sans CJK SC" w:eastAsia="Noto Sans CJK SC" w:cs="Noto Sans CJK SC"/>
          <w:b w:val="0"/>
          <w:i w:val="0"/>
          <w:color w:val="667085"/>
          <w:sz w:val="17"/>
        </w:rPr>
        <w:t>https://www.unesco.org/en/articles/guidance-generative-ai-education-and-research</w:t>
      </w:r>
    </w:p>
    <w:p>
      <w:pPr>
        <w:spacing w:after="80"/>
        <w:ind w:left="259"/>
      </w:pPr>
      <w:r>
        <w:rPr>
          <w:rFonts w:ascii="Noto Sans CJK SC" w:hAnsi="Noto Sans CJK SC" w:eastAsia="Noto Sans CJK SC" w:cs="Noto Sans CJK SC"/>
          <w:b/>
          <w:i w:val="0"/>
          <w:color w:val="1F4D78"/>
          <w:sz w:val="18"/>
        </w:rPr>
        <w:t>Gollwitzer &amp; Sheeran, Implementation Intentions Meta-analysis：</w:t>
      </w:r>
      <w:r>
        <w:rPr>
          <w:rFonts w:ascii="Noto Sans CJK SC" w:hAnsi="Noto Sans CJK SC" w:eastAsia="Noto Sans CJK SC" w:cs="Noto Sans CJK SC"/>
          <w:b w:val="0"/>
          <w:i w:val="0"/>
          <w:color w:val="667085"/>
          <w:sz w:val="17"/>
        </w:rPr>
        <w:t>https://www.socmot.uni-konstanz.de/publications/implementation-intentions-and-goal-achievement-meta-analysis-effects-and-processes</w:t>
      </w:r>
    </w:p>
    <w:p>
      <w:pPr>
        <w:spacing w:after="80"/>
        <w:ind w:left="259"/>
      </w:pPr>
      <w:r>
        <w:rPr>
          <w:rFonts w:ascii="Noto Sans CJK SC" w:hAnsi="Noto Sans CJK SC" w:eastAsia="Noto Sans CJK SC" w:cs="Noto Sans CJK SC"/>
          <w:b/>
          <w:i w:val="0"/>
          <w:color w:val="1F4D78"/>
          <w:sz w:val="18"/>
        </w:rPr>
        <w:t>Roediger &amp; Karpicke, Test-enhanced Learning：</w:t>
      </w:r>
      <w:r>
        <w:rPr>
          <w:rFonts w:ascii="Noto Sans CJK SC" w:hAnsi="Noto Sans CJK SC" w:eastAsia="Noto Sans CJK SC" w:cs="Noto Sans CJK SC"/>
          <w:b w:val="0"/>
          <w:i w:val="0"/>
          <w:color w:val="667085"/>
          <w:sz w:val="17"/>
        </w:rPr>
        <w:t>https://pubmed.ncbi.nlm.nih.gov/16507066/</w:t>
      </w:r>
    </w:p>
    <w:p>
      <w:pPr>
        <w:spacing w:after="80"/>
        <w:ind w:left="259"/>
      </w:pPr>
      <w:r>
        <w:rPr>
          <w:rFonts w:ascii="Noto Sans CJK SC" w:hAnsi="Noto Sans CJK SC" w:eastAsia="Noto Sans CJK SC" w:cs="Noto Sans CJK SC"/>
          <w:b/>
          <w:i w:val="0"/>
          <w:color w:val="1F4D78"/>
          <w:sz w:val="18"/>
        </w:rPr>
        <w:t>Khanmigo：</w:t>
      </w:r>
      <w:r>
        <w:rPr>
          <w:rFonts w:ascii="Noto Sans CJK SC" w:hAnsi="Noto Sans CJK SC" w:eastAsia="Noto Sans CJK SC" w:cs="Noto Sans CJK SC"/>
          <w:b w:val="0"/>
          <w:i w:val="0"/>
          <w:color w:val="667085"/>
          <w:sz w:val="17"/>
        </w:rPr>
        <w:t>https://www.khanacademy.org/khanmigo</w:t>
      </w:r>
    </w:p>
    <w:p>
      <w:pPr>
        <w:spacing w:after="80"/>
        <w:ind w:left="259"/>
      </w:pPr>
      <w:r>
        <w:rPr>
          <w:rFonts w:ascii="Noto Sans CJK SC" w:hAnsi="Noto Sans CJK SC" w:eastAsia="Noto Sans CJK SC" w:cs="Noto Sans CJK SC"/>
          <w:b/>
          <w:i w:val="0"/>
          <w:color w:val="1F4D78"/>
          <w:sz w:val="18"/>
        </w:rPr>
        <w:t>Duolingo Company Strategy Overview：</w:t>
      </w:r>
      <w:r>
        <w:rPr>
          <w:rFonts w:ascii="Noto Sans CJK SC" w:hAnsi="Noto Sans CJK SC" w:eastAsia="Noto Sans CJK SC" w:cs="Noto Sans CJK SC"/>
          <w:b w:val="0"/>
          <w:i w:val="0"/>
          <w:color w:val="667085"/>
          <w:sz w:val="17"/>
        </w:rPr>
        <w:t>https://investors.duolingo.com/company-strategy-overview-0</w:t>
      </w:r>
    </w:p>
    <w:p>
      <w:pPr>
        <w:spacing w:after="80"/>
        <w:ind w:left="259"/>
      </w:pPr>
      <w:r>
        <w:rPr>
          <w:rFonts w:ascii="Noto Sans CJK SC" w:hAnsi="Noto Sans CJK SC" w:eastAsia="Noto Sans CJK SC" w:cs="Noto Sans CJK SC"/>
          <w:b/>
          <w:i w:val="0"/>
          <w:color w:val="1F4D78"/>
          <w:sz w:val="18"/>
        </w:rPr>
        <w:t>Motion / Reclaim / Notion / Sunsama 官方产品页：</w:t>
      </w:r>
      <w:r>
        <w:rPr>
          <w:rFonts w:ascii="Noto Sans CJK SC" w:hAnsi="Noto Sans CJK SC" w:eastAsia="Noto Sans CJK SC" w:cs="Noto Sans CJK SC"/>
          <w:b w:val="0"/>
          <w:i w:val="0"/>
          <w:color w:val="667085"/>
          <w:sz w:val="17"/>
        </w:rPr>
        <w:t>https://www.usemotion.com/ · https://reclaim.ai/ · https://www.notion.com/product · https://www.sunsama.com/</w:t>
      </w:r>
    </w:p>
    <w:p>
      <w:pPr/>
      <w:r>
        <w:rPr>
          <w:rFonts w:ascii="Noto Sans CJK SC" w:hAnsi="Noto Sans CJK SC" w:eastAsia="Noto Sans CJK SC" w:cs="Noto Sans CJK SC"/>
        </w:rPr>
        <w:t>OpenAI, Function Calling：https://developers.openai.com/api/docs/guides/function-calling</w:t>
      </w:r>
    </w:p>
    <w:p>
      <w:pPr/>
      <w:r>
        <w:rPr>
          <w:rFonts w:ascii="Noto Sans CJK SC" w:hAnsi="Noto Sans CJK SC" w:eastAsia="Noto Sans CJK SC" w:cs="Noto Sans CJK SC"/>
        </w:rPr>
        <w:t>OpenAI, Structured Outputs：https://developers.openai.com/api/docs/guides/structured-outputs</w:t>
      </w:r>
    </w:p>
    <w:p>
      <w:pPr/>
      <w:r>
        <w:rPr>
          <w:rFonts w:ascii="Noto Sans CJK SC" w:hAnsi="Noto Sans CJK SC" w:eastAsia="Noto Sans CJK SC" w:cs="Noto Sans CJK SC"/>
        </w:rPr>
        <w:t>Anthropic, Building Effective AI Agents：https://www.anthropic.com/engineering/building-effective-agents</w:t>
      </w:r>
    </w:p>
    <w:p>
      <w:pPr/>
      <w:r>
        <w:rPr>
          <w:rFonts w:ascii="Noto Sans CJK SC" w:hAnsi="Noto Sans CJK SC" w:eastAsia="Noto Sans CJK SC" w:cs="Noto Sans CJK SC"/>
        </w:rPr>
        <w:t>Model Context Protocol, Introduction：https://modelcontextprotocol.io/docs/2026-07-28/getting-started/intro</w:t>
      </w:r>
    </w:p>
    <w:p>
      <w:pPr/>
      <w:r>
        <w:rPr>
          <w:rFonts w:ascii="Noto Sans CJK SC" w:hAnsi="Noto Sans CJK SC" w:eastAsia="Noto Sans CJK SC" w:cs="Noto Sans CJK SC"/>
        </w:rPr>
        <w:t>Lewis et al., Retrieval-Augmented Generation：https://arxiv.org/abs/2005.11401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B. 代码口径</w:t>
      </w:r>
    </w:p>
    <w:p>
      <w:pPr>
        <w:spacing w:after="120" w:line="264" w:lineRule="auto"/>
      </w:pPr>
      <w:r>
        <w:rPr>
          <w:rFonts w:ascii="Noto Sans CJK SC" w:hAnsi="Noto Sans CJK SC" w:eastAsia="Noto Sans CJK SC" w:cs="Noto Sans CJK SC"/>
          <w:b w:val="0"/>
          <w:i w:val="0"/>
          <w:color w:val="16212B"/>
          <w:sz w:val="21"/>
        </w:rPr>
        <w:t>代码事实来自 2026-08-24 当前工作区的 backend/src、frontend/app/(technology)/studio、backend/alembic、backend/tests 和 frontend/e2e。数量为静态扫描；本轮定向测试 70 项但未执行全量测试，也未访问生产分析平台。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C. 配套文档</w:t>
      </w:r>
    </w:p>
    <w:p>
      <w:pPr>
        <w:spacing w:after="80" w:line="276" w:lineRule="auto"/>
      </w:pPr>
      <w:r>
        <w:t>01–05：01_产品全景与设计构想.md；02_市场应用与竞品分析.md；03_用户研究与需求洞察.md；04_数据分析与指标体系.md；05_路线图与商业化建议.md</w:t>
      </w:r>
    </w:p>
    <w:p>
      <w:pPr>
        <w:spacing w:after="80" w:line="276" w:lineRule="auto"/>
      </w:pPr>
      <w:r>
        <w:t>06–10：06_代码事实与功能成熟度审计.md；07_BRD_商业需求文档.md；08_MRD_市场需求文档.md；09_交互与原型说明.md；10_品类原理_技术窗口与创新边界.md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b w:val="0"/>
        <w:i w:val="0"/>
        <w:color w:val="667085"/>
        <w:sz w:val="17"/>
      </w:rPr>
      <w:t xml:space="preserve">PlanPilot 产品战略与市场研究  |  </w:t>
    </w:r>
    <w:r>
      <w:rPr>
        <w:rFonts w:ascii="Noto Sans CJK SC" w:hAnsi="Noto Sans CJK SC" w:eastAsia="Noto Sans CJK SC" w:cs="Noto Sans CJK SC"/>
        <w:b w:val="0"/>
        <w:i w:val="0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b/>
        <w:i w:val="0"/>
        <w:color w:val="667085"/>
        <w:sz w:val="17"/>
      </w:rPr>
      <w:t>PLANPILOT · PRODUCT STRATEGY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Noto Sans CJK SC" w:hAnsi="Noto Sans CJK SC" w:eastAsia="Noto Sans CJK SC" w:cs="Noto Sans CJK SC"/>
      <w:color w:val="16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 w:cs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Noto Sans CJK SC" w:hAnsi="Noto Sans CJK SC" w:eastAsia="Noto Sans CJK SC" w:cs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Noto Sans CJK SC" w:hAnsi="Noto Sans CJK SC" w:eastAsia="Noto Sans CJK SC" w:cs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 w:cs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PlanPilot 产品战略与市场研究汇总报告</dc:title>
  <dc:subject>基于 2026-08-24 当前代码、定向测试与公开证据</dc:subject>
  <dc:creator>PlanPilot Product Strategy</dc:creator>
  <cp:keywords>PlanPilot, 产品战略, 市场研究, 用户研究, 数据分析</cp:keywords>
  <dc:description>v1.2：同步 Agent 2.5、Beta 证据、当前 Fast Gate 红项与路线图。</dc:description>
  <cp:lastModifiedBy/>
  <cp:revision>1</cp:revision>
  <dcterms:created xsi:type="dcterms:W3CDTF">2013-12-23T23:15:00Z</dcterms:created>
  <dcterms:modified xsi:type="dcterms:W3CDTF">2013-12-23T23:15:00Z</dcterms:modified>
  <cp:category/>
  <cp:version>1.2</cp:version>
</cp:coreProperties>
</file>