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Wuling Bingo (缤果): a Small Chinese Electric Hatchback — Specs and Exporter Checks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Wuling Bingo EV Specs &amp; Export Buyer Guide (203/333/410 km CLTC)</w:t>
      </w:r>
    </w:p>
    <w:p>
      <w:pPr>
        <w:pStyle w:val="ListBullet"/>
      </w:pPr>
      <w:r>
        <w:rPr>
          <w:b/>
        </w:rPr>
        <w:t>Meta Description</w:t>
      </w:r>
      <w:r>
        <w:t>: Chinese-market Wuling Bingo small BEV — LFP battery, 203/333/410 km CLTC steps, 30/50 kW motors, DC fast charging, dimensions, and what importers must verify per trim.</w:t>
      </w:r>
    </w:p>
    <w:p>
      <w:pPr>
        <w:pStyle w:val="ListBullet"/>
      </w:pPr>
      <w:r>
        <w:rPr>
          <w:b/>
        </w:rPr>
        <w:t>Suggested URL</w:t>
      </w:r>
      <w:r>
        <w:t>: /vehicles/wuling-bingo/</w:t>
      </w:r>
    </w:p>
    <w:p>
      <w:pPr>
        <w:pStyle w:val="ListBullet"/>
      </w:pPr>
      <w:r>
        <w:rPr>
          <w:b/>
        </w:rPr>
        <w:t>H1</w:t>
      </w:r>
      <w:r>
        <w:t>: Wuling Bingo: Chinese-Market Small EV Specs and Export Verification</w:t>
      </w:r>
    </w:p>
    <w:p>
      <w:pPr>
        <w:pStyle w:val="ListBullet"/>
      </w:pPr>
      <w:r>
        <w:rPr>
          <w:b/>
        </w:rPr>
        <w:t>Primary Keyword</w:t>
      </w:r>
      <w:r>
        <w:t>: wuling bingo ev specs export</w:t>
      </w:r>
    </w:p>
    <w:p>
      <w:pPr>
        <w:pStyle w:val="ListBullet"/>
      </w:pPr>
      <w:r>
        <w:rPr>
          <w:b/>
        </w:rPr>
        <w:t>Secondary Search Terms</w:t>
      </w:r>
      <w:r>
        <w:t>: Wuling Bingo 203km, Wuling Bingo 333km, Wuling Bingo 410km, Chinese small EV export, 五菱缤果 specs</w:t>
      </w:r>
    </w:p>
    <w:p>
      <w:pPr>
        <w:pStyle w:val="ListBullet"/>
      </w:pPr>
      <w:r>
        <w:rPr>
          <w:b/>
        </w:rPr>
        <w:t>Internal Link Suggestions</w:t>
      </w:r>
      <w:r>
        <w:t>: /guides/ev-shipping-un3556-imdg-compliance/ ; /guides/vehicle-export-pdi-pre-shipment-handover/ ; /vehicles/byd-qin-l-dm-i/</w:t>
      </w:r>
    </w:p>
    <w:p>
      <w:pPr>
        <w:pStyle w:val="ListBullet"/>
      </w:pPr>
      <w:r>
        <w:rPr>
          <w:b/>
        </w:rPr>
        <w:t>Image Suggestions</w:t>
      </w:r>
      <w:r>
        <w:t>: five-door Bingo side; 203 vs 333/410 badge; rear cargo with seats folded; charge port; four-seat cabin</w:t>
      </w:r>
    </w:p>
    <w:p>
      <w:pPr>
        <w:pStyle w:val="ListBullet"/>
      </w:pPr>
      <w:r>
        <w:rPr>
          <w:b/>
        </w:rPr>
        <w:t>ALT Suggestions</w:t>
      </w:r>
      <w:r>
        <w:t>: "Wuling Bingo small electric hatchback China spec"; "Wuling Bingo CLTC range 203 333 410 km"</w:t>
      </w:r>
    </w:p>
    <w:p>
      <w:pPr>
        <w:pStyle w:val="Heading2"/>
      </w:pPr>
      <w:r>
        <w:t>Buyer Context: a City BEV Sold in Three Range Steps</w:t>
      </w:r>
    </w:p>
    <w:p>
      <w:r>
        <w:t xml:space="preserve">The Bingo is Wuling's five-door small electric hatchback, aimed at urban and light-commercial personal use. For an exporter the decisive variable is </w:t>
      </w:r>
      <w:r>
        <w:rPr>
          <w:b/>
        </w:rPr>
        <w:t>range step</w:t>
      </w:r>
      <w:r>
        <w:t xml:space="preserve">, because motor power, battery and top speed all change with it. This sheet covers the </w:t>
      </w:r>
      <w:r>
        <w:rPr>
          <w:b/>
        </w:rPr>
        <w:t>Chinese-market 2024 line (REFERENCE MARKET: CHINA)</w:t>
      </w:r>
      <w:r>
        <w:t>; without an OEM overseas page, the Chinese figures are a reference, not a global specification.</w:t>
      </w:r>
    </w:p>
    <w:p>
      <w:pPr>
        <w:pStyle w:val="Heading2"/>
      </w:pPr>
      <w:r>
        <w:t>EV Core: Battery, Range Cycle, Charging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203 km (entry)</w:t>
            </w:r>
          </w:p>
        </w:tc>
        <w:tc>
          <w:tcPr>
            <w:tcW w:type="dxa" w:w="2880"/>
          </w:tcPr>
          <w:p>
            <w:r>
              <w:t>333 / 410 km (mid/high)</w:t>
            </w:r>
          </w:p>
        </w:tc>
      </w:tr>
      <w:tr>
        <w:tc>
          <w:tcPr>
            <w:tcW w:type="dxa" w:w="2880"/>
          </w:tcPr>
          <w:p>
            <w:r>
              <w:t>Battery chemistry</w:t>
            </w:r>
          </w:p>
        </w:tc>
        <w:tc>
          <w:tcPr>
            <w:tcW w:type="dxa" w:w="2880"/>
          </w:tcPr>
          <w:p>
            <w:r>
              <w:t>LFP (lithium iron phosphate)</w:t>
            </w:r>
          </w:p>
        </w:tc>
        <w:tc>
          <w:tcPr>
            <w:tcW w:type="dxa" w:w="2880"/>
          </w:tcPr>
          <w:p>
            <w:r>
              <w:t>LFP</w:t>
            </w:r>
          </w:p>
        </w:tc>
      </w:tr>
      <w:tr>
        <w:tc>
          <w:tcPr>
            <w:tcW w:type="dxa" w:w="2880"/>
          </w:tcPr>
          <w:p>
            <w:r>
              <w:t>Entry battery</w:t>
            </w:r>
          </w:p>
        </w:tc>
        <w:tc>
          <w:tcPr>
            <w:tcW w:type="dxa" w:w="2880"/>
          </w:tcPr>
          <w:p>
            <w:r>
              <w:t>17.3 kWh</w:t>
            </w:r>
          </w:p>
        </w:tc>
        <w:tc>
          <w:tcPr>
            <w:tcW w:type="dxa" w:w="2880"/>
          </w:tcPr>
          <w:p>
            <w:r>
              <w:t>larger packs (confirm per version on OEM sheet)</w:t>
            </w:r>
          </w:p>
        </w:tc>
      </w:tr>
      <w:tr>
        <w:tc>
          <w:tcPr>
            <w:tcW w:type="dxa" w:w="2880"/>
          </w:tcPr>
          <w:p>
            <w:r>
              <w:t>Motor power</w:t>
            </w:r>
          </w:p>
        </w:tc>
        <w:tc>
          <w:tcPr>
            <w:tcW w:type="dxa" w:w="2880"/>
          </w:tcPr>
          <w:p>
            <w:r>
              <w:t>30 kW</w:t>
            </w:r>
          </w:p>
        </w:tc>
        <w:tc>
          <w:tcPr>
            <w:tcW w:type="dxa" w:w="2880"/>
          </w:tcPr>
          <w:p>
            <w:r>
              <w:t>50 kW (entry is 30 kW — do not generalise)</w:t>
            </w:r>
          </w:p>
        </w:tc>
      </w:tr>
      <w:tr>
        <w:tc>
          <w:tcPr>
            <w:tcW w:type="dxa" w:w="2880"/>
          </w:tcPr>
          <w:p>
            <w:r>
              <w:t>Motor torque</w:t>
            </w:r>
          </w:p>
        </w:tc>
        <w:tc>
          <w:tcPr>
            <w:tcW w:type="dxa" w:w="2880"/>
          </w:tcPr>
          <w:p>
            <w:r>
              <w:t>85 N·m</w:t>
            </w:r>
          </w:p>
        </w:tc>
        <w:tc>
          <w:tcPr>
            <w:tcW w:type="dxa" w:w="2880"/>
          </w:tcPr>
          <w:p>
            <w:r>
              <w:t>125 N·m (single-source)</w:t>
            </w:r>
          </w:p>
        </w:tc>
      </w:tr>
      <w:tr>
        <w:tc>
          <w:tcPr>
            <w:tcW w:type="dxa" w:w="2880"/>
          </w:tcPr>
          <w:p>
            <w:r>
              <w:t>CLTC range</w:t>
            </w:r>
          </w:p>
        </w:tc>
        <w:tc>
          <w:tcPr>
            <w:tcW w:type="dxa" w:w="2880"/>
          </w:tcPr>
          <w:p>
            <w:r>
              <w:t>203 km</w:t>
            </w:r>
          </w:p>
        </w:tc>
        <w:tc>
          <w:tcPr>
            <w:tcW w:type="dxa" w:w="2880"/>
          </w:tcPr>
          <w:p>
            <w:r>
              <w:t>333 km / 410 km</w:t>
            </w:r>
          </w:p>
        </w:tc>
      </w:tr>
      <w:tr>
        <w:tc>
          <w:tcPr>
            <w:tcW w:type="dxa" w:w="2880"/>
          </w:tcPr>
          <w:p>
            <w:r>
              <w:t>Top speed</w:t>
            </w:r>
          </w:p>
        </w:tc>
        <w:tc>
          <w:tcPr>
            <w:tcW w:type="dxa" w:w="2880"/>
          </w:tcPr>
          <w:p>
            <w:r>
              <w:t>100 km/h</w:t>
            </w:r>
          </w:p>
        </w:tc>
        <w:tc>
          <w:tcPr>
            <w:tcW w:type="dxa" w:w="2880"/>
          </w:tcPr>
          <w:p>
            <w:r>
              <w:t>130 km/h</w:t>
            </w:r>
          </w:p>
        </w:tc>
      </w:tr>
      <w:tr>
        <w:tc>
          <w:tcPr>
            <w:tcW w:type="dxa" w:w="2880"/>
          </w:tcPr>
          <w:p>
            <w:r>
              <w:t>DC fast charge</w:t>
            </w:r>
          </w:p>
        </w:tc>
        <w:tc>
          <w:tcPr>
            <w:tcW w:type="dxa" w:w="2880"/>
          </w:tcPr>
          <w:p>
            <w:r>
              <w:t>All versions DC fast-charge; about 35 min for 30–80% (single-source; confirm per OEM)</w:t>
            </w:r>
          </w:p>
        </w:tc>
        <w:tc>
          <w:tcPr>
            <w:tcW w:type="dxa" w:w="2880"/>
          </w:tcPr>
          <w:p>
            <w:r>
              <w:t>same</w:t>
            </w:r>
          </w:p>
        </w:tc>
      </w:tr>
    </w:tbl>
    <w:p/>
    <w:p>
      <w:r>
        <w:t xml:space="preserve">All range figures are </w:t>
      </w:r>
      <w:r>
        <w:rPr>
          <w:b/>
        </w:rPr>
        <w:t>CLTC</w:t>
      </w:r>
      <w:r>
        <w:t>. The entry car's 30 kW motor must not be quoted for the higher trims, and vice versa.</w:t>
      </w:r>
    </w:p>
    <w:p>
      <w:pPr>
        <w:pStyle w:val="Heading2"/>
      </w:pPr>
      <w:r>
        <w:t>Dimensions, Seating and Cargo</w:t>
      </w:r>
    </w:p>
    <w:p>
      <w:pPr>
        <w:pStyle w:val="ListBullet"/>
      </w:pPr>
      <w:r>
        <w:t xml:space="preserve">Length / width / height: </w:t>
      </w:r>
      <w:r>
        <w:rPr>
          <w:b/>
        </w:rPr>
        <w:t>3950 / 1708 / 1580 mm</w:t>
      </w:r>
    </w:p>
    <w:p>
      <w:pPr>
        <w:pStyle w:val="ListBullet"/>
      </w:pPr>
      <w:r>
        <w:t xml:space="preserve">Wheelbase: </w:t>
      </w:r>
      <w:r>
        <w:rPr>
          <w:b/>
        </w:rPr>
        <w:t>2560 mm</w:t>
      </w:r>
    </w:p>
    <w:p>
      <w:pPr>
        <w:pStyle w:val="ListBullet"/>
      </w:pPr>
      <w:r>
        <w:t xml:space="preserve">Seats: documented as </w:t>
      </w:r>
      <w:r>
        <w:rPr>
          <w:b/>
        </w:rPr>
        <w:t>4 (2+2 layout)</w:t>
      </w:r>
      <w:r>
        <w:t xml:space="preserve"> for the entry car; some versions may offer five seats — confirm on the exact trim sheet.</w:t>
      </w:r>
    </w:p>
    <w:p>
      <w:pPr>
        <w:pStyle w:val="ListBullet"/>
      </w:pPr>
      <w:r>
        <w:t xml:space="preserve">Cargo volume: </w:t>
      </w:r>
      <w:r>
        <w:rPr>
          <w:b/>
        </w:rPr>
        <w:t>350 L, expanding to about 1240 L</w:t>
      </w:r>
      <w:r>
        <w:t xml:space="preserve"> with seats folded (single-source).</w:t>
      </w:r>
    </w:p>
    <w:p>
      <w:pPr>
        <w:pStyle w:val="Heading2"/>
      </w:pPr>
      <w:r>
        <w:t>Version Map (hold each line separate)</w:t>
      </w:r>
    </w:p>
    <w:p>
      <w:pPr>
        <w:pStyle w:val="ListBullet"/>
      </w:pPr>
      <w:r>
        <w:rPr>
          <w:b/>
        </w:rPr>
        <w:t>203 轻享 (entry)</w:t>
      </w:r>
      <w:r>
        <w:t>: 17.3 kWh, 30 kW/85 N·m, 100 km/h top speed.</w:t>
      </w:r>
    </w:p>
    <w:p>
      <w:pPr>
        <w:pStyle w:val="ListBullet"/>
      </w:pPr>
      <w:r>
        <w:rPr>
          <w:b/>
        </w:rPr>
        <w:t>333 悦享 / 410 灵犀 (mid/high)</w:t>
      </w:r>
      <w:r>
        <w:t>: 50 kW motor, 125 N·m, 130 km/h top speed.</w:t>
      </w:r>
    </w:p>
    <w:p>
      <w:pPr>
        <w:pStyle w:val="ListBullet"/>
      </w:pPr>
      <w:r>
        <w:t>Width, four-seat layout and fast-charge minutes rest partly on single sources; reconfirm on the factory configuration list.</w:t>
      </w:r>
    </w:p>
    <w:p>
      <w:pPr>
        <w:pStyle w:val="Heading2"/>
      </w:pPr>
      <w:r>
        <w:t>Overseas Buyer Verification Before Payment</w:t>
      </w:r>
    </w:p>
    <w:p>
      <w:pPr>
        <w:pStyle w:val="ListBullet"/>
      </w:pPr>
      <w:r>
        <w:t>A small EV's motor position (and therefore its driven axle) should be read from the nameplate/certificate; the reference sheet fixes power and range grades but not the drive layout.</w:t>
      </w:r>
    </w:p>
    <w:p>
      <w:pPr>
        <w:pStyle w:val="ListNumber"/>
      </w:pPr>
      <w:r>
        <w:rPr>
          <w:b/>
        </w:rPr>
        <w:t>Exact range step and motor</w:t>
      </w:r>
      <w:r>
        <w:t xml:space="preserve"> matched to the VIN — 30 kW entry vs 50 kW upper trims are different cars.</w:t>
      </w:r>
    </w:p>
    <w:p>
      <w:pPr>
        <w:pStyle w:val="ListNumber"/>
      </w:pPr>
      <w:r>
        <w:rPr>
          <w:b/>
        </w:rPr>
        <w:t>Seat count</w:t>
      </w:r>
      <w:r>
        <w:t xml:space="preserve"> (4 vs possible 5) for the specific unit.</w:t>
      </w:r>
    </w:p>
    <w:p>
      <w:pPr>
        <w:pStyle w:val="ListNumber"/>
      </w:pPr>
      <w:r>
        <w:rPr>
          <w:b/>
        </w:rPr>
        <w:t>Charging connector</w:t>
      </w:r>
      <w:r>
        <w:t xml:space="preserve"> — Chinese GB/T port vs the destination standard; confirm DC charger compatibility.</w:t>
      </w:r>
    </w:p>
    <w:p>
      <w:pPr>
        <w:pStyle w:val="ListNumber"/>
      </w:pPr>
      <w:r>
        <w:rPr>
          <w:b/>
        </w:rPr>
        <w:t>Battery shipping documents</w:t>
      </w:r>
      <w:r>
        <w:t xml:space="preserve"> — UN38.3 summary and DG paperwork per the IMDG 42-24 battery guide; BEV carriage classification follows the current rule set.</w:t>
      </w:r>
    </w:p>
    <w:p>
      <w:pPr>
        <w:pStyle w:val="ListNumber"/>
      </w:pPr>
      <w:r>
        <w:rPr>
          <w:b/>
        </w:rPr>
        <w:t>PDI and SOC for shipment</w:t>
      </w:r>
      <w:r>
        <w:t xml:space="preserve"> — follow the pre-shipment preparation guide and the carrier's stated state-of-charge requirement (no universal fixed percentage).</w:t>
      </w:r>
    </w:p>
    <w:p>
      <w:pPr>
        <w:pStyle w:val="Heading2"/>
      </w:pPr>
      <w:r>
        <w:t>Request a Current Export Quotation</w:t>
      </w:r>
    </w:p>
    <w:p>
      <w:r>
        <w:t xml:space="preserve">No static export price. The Chinese 2024 starting guide price (around RMB 56,800) is a </w:t>
      </w:r>
      <w:r>
        <w:rPr>
          <w:b/>
        </w:rPr>
        <w:t>domestic, time-sensitive reference, not FOB/CIF</w:t>
      </w:r>
      <w:r>
        <w:t xml:space="preserve">. Enquire with </w:t>
      </w:r>
      <w:r>
        <w:rPr>
          <w:b/>
        </w:rPr>
        <w:t>Destination Country · Quantity · Range Step/Trim · LHD/RHD · Destination Port · Incoterm</w:t>
      </w:r>
      <w:r>
        <w:t>.</w:t>
      </w:r>
    </w:p>
    <w:p>
      <w:pPr>
        <w:pStyle w:val="Heading2"/>
      </w:pPr>
      <w:r>
        <w:t>Frequently Asked Questions</w:t>
      </w:r>
    </w:p>
    <w:p>
      <w:r>
        <w:rPr>
          <w:b/>
        </w:rPr>
        <w:t>How many range versions are there?</w:t>
      </w:r>
      <w:r>
        <w:t xml:space="preserve"> Three documented CLTC steps — 203, 333 and 410 km — with different motor and battery specifications.</w:t>
      </w:r>
    </w:p>
    <w:p>
      <w:r>
        <w:rPr>
          <w:b/>
        </w:rPr>
        <w:t>Is every Bingo 50 kW?</w:t>
      </w:r>
      <w:r>
        <w:t xml:space="preserve"> No; the 203 km entry car uses a 30 kW motor, while 333/410 versions use 50 kW.</w:t>
      </w:r>
    </w:p>
    <w:p>
      <w:r>
        <w:rPr>
          <w:b/>
        </w:rPr>
        <w:t>How many seats?</w:t>
      </w:r>
      <w:r>
        <w:t xml:space="preserve"> The documented entry layout is four seats (2+2); confirm whether the chosen version seats five.</w:t>
      </w:r>
    </w:p>
    <w:p>
      <w:r>
        <w:rPr>
          <w:b/>
        </w:rPr>
        <w:t>What charging does it support?</w:t>
      </w:r>
      <w:r>
        <w:t xml:space="preserve"> All versions list DC fast charging (about 35 min 30–80%, per Chinese coverage); connector type abroad must be checked.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Wuling Bingo, battery-electric vehicle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Wuling Bingo, véhicule 100 % électrique</w:t>
      </w:r>
    </w:p>
    <w:p>
      <w:pPr>
        <w:pStyle w:val="ListBullet"/>
      </w:pPr>
      <w:r>
        <w:rPr>
          <w:b/>
        </w:rPr>
        <w:t>DE</w:t>
      </w:r>
      <w:r>
        <w:t>: AutoBridge-Referenz für Exportkäufer — Wuling Bingo, batterieelektrisches Fahrzeug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Wuling Bingo, vehículo 100 % eléctrico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Wuling Bingo, veículo 100 % elétrico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輸出バイヤー向けリファレンス｜Wuling Bingo, 純電気自動車</w:t>
      </w:r>
    </w:p>
    <w:p>
      <w:pPr>
        <w:pStyle w:val="ListBullet"/>
      </w:pPr>
      <w:r>
        <w:rPr>
          <w:b/>
        </w:rPr>
        <w:t>KO</w:t>
      </w:r>
      <w:r>
        <w:t>: AutoBridge 수출 바이어 참고 자료｜Wuling Bingo, 순수 전기차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Wuling Bingo, xe thuần điện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Wuling Bingo, รถยนต์ไฟฟ้า 100%</w:t>
      </w:r>
    </w:p>
    <w:p>
      <w:pPr>
        <w:pStyle w:val="ListBullet"/>
      </w:pPr>
      <w:r>
        <w:rPr>
          <w:b/>
        </w:rPr>
        <w:t>ID</w:t>
      </w:r>
      <w:r>
        <w:t>: Referensi AutoBridge untuk pembeli ekspor — Wuling Bingo, kendaraan listrik murni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Wuling Bingo, مركبة كهربائية بالبطارية</w:t>
      </w:r>
    </w:p>
    <w:p>
      <w:pPr>
        <w:pStyle w:val="ListBullet"/>
      </w:pPr>
      <w:r>
        <w:rPr>
          <w:b/>
        </w:rPr>
        <w:t>ZH</w:t>
      </w:r>
      <w:r>
        <w:t>: AutoBridge 出口采购参考｜Wuling Bingo, 纯电动车</w:t>
      </w:r>
    </w:p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Wuling Bingo 203km config table</w:t>
            </w:r>
          </w:p>
        </w:tc>
        <w:tc>
          <w:tcPr>
            <w:tcW w:type="dxa" w:w="1234"/>
          </w:tcPr>
          <w:p>
            <w:r>
              <w:t>Autohome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https://car.m.autohome.com.cn/config/spec/61645.html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17.3 kWh, 30 kW/85 N·m, range, top speed</w:t>
            </w:r>
          </w:p>
        </w:tc>
      </w:tr>
      <w:tr>
        <w:tc>
          <w:tcPr>
            <w:tcW w:type="dxa" w:w="1234"/>
          </w:tcPr>
          <w:p>
            <w:r>
              <w:t>Bingo 2024 203km parameters</w:t>
            </w:r>
          </w:p>
        </w:tc>
        <w:tc>
          <w:tcPr>
            <w:tcW w:type="dxa" w:w="1234"/>
          </w:tcPr>
          <w:p>
            <w:r>
              <w:t>Sohu Auto database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http://db.m.auto.sohu.com/trim_173261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Dimensions, wheelbase, battery, seats</w:t>
            </w:r>
          </w:p>
        </w:tc>
      </w:tr>
      <w:tr>
        <w:tc>
          <w:tcPr>
            <w:tcW w:type="dxa" w:w="1234"/>
          </w:tcPr>
          <w:p>
            <w:r>
              <w:t>2024 Bingo range &amp; fast-charge update</w:t>
            </w:r>
          </w:p>
        </w:tc>
        <w:tc>
          <w:tcPr>
            <w:tcW w:type="dxa" w:w="1234"/>
          </w:tcPr>
          <w:p>
            <w:r>
              <w:t>Autohome·Chejiahao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https://chejiahao.m.autohome.com.cn/info/24300800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Range steps, 50 kW, DC charge minutes, CLTC</w:t>
            </w:r>
          </w:p>
        </w:tc>
      </w:tr>
      <w:tr>
        <w:tc>
          <w:tcPr>
            <w:tcW w:type="dxa" w:w="1234"/>
          </w:tcPr>
          <w:p>
            <w:r>
              <w:t>Bingo dimensions &amp; seating layout</w:t>
            </w:r>
          </w:p>
        </w:tc>
        <w:tc>
          <w:tcPr>
            <w:tcW w:type="dxa" w:w="1234"/>
          </w:tcPr>
          <w:p>
            <w:r>
              <w:t>16888 auto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https://m.16888.com/news/2025/0708/23852156.html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Width/height, 2+2 seating</w:t>
            </w:r>
          </w:p>
        </w:tc>
      </w:tr>
      <w:tr>
        <w:tc>
          <w:tcPr>
            <w:tcW w:type="dxa" w:w="1234"/>
          </w:tcPr>
          <w:p>
            <w:r>
              <w:t>Wuling Bingo 2025 full-line config</w:t>
            </w:r>
          </w:p>
        </w:tc>
        <w:tc>
          <w:tcPr>
            <w:tcW w:type="dxa" w:w="1234"/>
          </w:tcPr>
          <w:p>
            <w:r>
              <w:t>PCauto config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https://car.pcauto.com.cn/360/m133517/config.html</w:t>
            </w:r>
          </w:p>
        </w:tc>
        <w:tc>
          <w:tcPr>
            <w:tcW w:type="dxa" w:w="1234"/>
          </w:tcPr>
          <w:p>
            <w:r>
              <w:t>2026-09-04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Mid/high motor, range</w:t>
            </w:r>
          </w:p>
        </w:tc>
      </w:tr>
      <w:tr>
        <w:tc>
          <w:tcPr>
            <w:tcW w:type="dxa" w:w="1234"/>
          </w:tcPr>
          <w:p>
            <w:r>
              <w:t>Road motor-vehicle manufacturers &amp; products catalog — public query system</w:t>
            </w:r>
          </w:p>
        </w:tc>
        <w:tc>
          <w:tcPr>
            <w:tcW w:type="dxa" w:w="1234"/>
          </w:tcPr>
          <w:p>
            <w:r>
              <w:t>MIIT, China Ministry of Industry and Information Technology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https://service.miit-eidc.org.cn/miitxxgk/gonggao_xxgk/index_ggcp.html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Verify the manufacturer, approved model and homologation (公告) catalog entry before ordering or export</w:t>
            </w:r>
          </w:p>
        </w:tc>
      </w:tr>
      <w:tr>
        <w:tc>
          <w:tcPr>
            <w:tcW w:type="dxa" w:w="1234"/>
          </w:tcPr>
          <w:p>
            <w:r>
              <w:t>GB 16735-2019 Road vehicles — Vehicle identification number (VIN) requirements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https://openstd.samr.gov.cn/bzgk/std/newGbInfo?hcno=E2EBF667F8C032B1EDFD6DF9C1114E02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VIN structure and nameplate data fields used in the buyer's VIN/nameplate verification</w:t>
            </w:r>
          </w:p>
        </w:tc>
      </w:tr>
      <w:tr>
        <w:tc>
          <w:tcPr>
            <w:tcW w:type="dxa" w:w="1234"/>
          </w:tcPr>
          <w:p>
            <w:r>
              <w:t>GB 7258 motor-vehicle safety technical conditions (GB 7258-2017 current; GB 7258-2026 applies from 2027-07-01)</w:t>
            </w:r>
          </w:p>
        </w:tc>
        <w:tc>
          <w:tcPr>
            <w:tcW w:type="dxa" w:w="1234"/>
          </w:tcPr>
          <w:p>
            <w:r>
              <w:t>SAMR, State Administration for Market Regulation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https://www.samr.gov.cn/xw/sj/art/2026/art_9b2b3fa425e3461e8dc3bd270b410ceb.html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Baseline in-China vehicle safety technical conditions and the current/revision timeline</w:t>
            </w:r>
          </w:p>
        </w:tc>
      </w:tr>
      <w:tr>
        <w:tc>
          <w:tcPr>
            <w:tcW w:type="dxa" w:w="1234"/>
          </w:tcPr>
          <w:p>
            <w:r>
              <w:t>GB 38031 traction battery safety requirements (GB 38031-2025; new type applications mandatory from 2026-07-01)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https://std.samr.gov.cn/gb/search/gbDetailed?id=31D72E7FB9BF92EDE06397BE0A0AC2E0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Mandatory traction-battery safety requirement basis for the electrified powertrain</w:t>
            </w:r>
          </w:p>
        </w:tc>
      </w:tr>
      <w:tr>
        <w:tc>
          <w:tcPr>
            <w:tcW w:type="dxa" w:w="1234"/>
          </w:tcPr>
          <w:p>
            <w:r>
              <w:t>GB 18384 electric vehicle safety requirements (GB 18384-2025)</w:t>
            </w:r>
          </w:p>
        </w:tc>
        <w:tc>
          <w:tcPr>
            <w:tcW w:type="dxa" w:w="1234"/>
          </w:tcPr>
          <w:p>
            <w:r>
              <w:t>SAMR national standards full-text platform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https://std.samr.gov.cn/gb/search/gbDetailed?id=473DC30DBF4CC20FE06397BE0A0AD08C</w:t>
            </w:r>
          </w:p>
        </w:tc>
        <w:tc>
          <w:tcPr>
            <w:tcW w:type="dxa" w:w="1234"/>
          </w:tcPr>
          <w:p>
            <w:r>
              <w:t>2026-09-05</w:t>
            </w:r>
          </w:p>
        </w:tc>
        <w:tc>
          <w:tcPr>
            <w:tcW w:type="dxa" w:w="1234"/>
          </w:tcPr>
          <w:p>
            <w:r>
              <w:t>VERIFIED</w:t>
            </w:r>
          </w:p>
        </w:tc>
        <w:tc>
          <w:tcPr>
            <w:tcW w:type="dxa" w:w="1234"/>
          </w:tcPr>
          <w:p>
            <w:r>
              <w:t>Electric-vehicle electrical/functional safety requirement basis</w:t>
            </w:r>
          </w:p>
        </w:tc>
      </w:tr>
    </w:tbl>
    <w:p/>
    <w:p>
      <w:r>
        <w:t>*Confidence note: entry battery/power cross-checked; motor torque, cargo volume, seat count and charge minutes are single-source and flagged. No OEM overseas page — Chinese-market reference only.*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</w:t>
      </w:r>
      <w:r>
        <w:t>: AutoBridge Export Editorial Team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China, 2024 Wuling Bingo (Chinese-market reference; CLTC stated; not a global spec)</w:t>
      </w:r>
    </w:p>
    <w:p>
      <w:pPr>
        <w:pStyle w:val="ListBullet"/>
      </w:pPr>
      <w:r>
        <w:rPr>
          <w:b/>
        </w:rPr>
        <w:t>Verification method</w:t>
      </w:r>
      <w:r>
        <w:t>: Multi-database cross-check; per-trim motor/range separated; single-source items flagged</w:t>
      </w:r>
    </w:p>
    <w:p>
      <w:pPr>
        <w:pStyle w:val="ListBullet"/>
      </w:pPr>
      <w:r>
        <w:rPr>
          <w:b/>
        </w:rPr>
        <w:t>Transparency</w:t>
      </w:r>
      <w:r>
        <w:t>: Prepared with AI assistance and editorially checked by the AutoBridge Export Editorial Team. It is source-based desk research, not first-hand testing; confirm time-sensitive and destination-specific requirements before transacting.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rPr>
          <w:b/>
        </w:rPr>
        <w:t>Tags</w:t>
      </w:r>
      <w:r>
        <w:t>: #WulingBingo #SmallEVExport #CLTCRange #LFPBattery #ChinaReferenceSpec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