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Pre-Shipment PDI and Handover for Vehicle Export: Carrier Rules vs AutoBridge's Recommended Checklist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Export PDI &amp; Pre-Shipment Handover Guide — Named Carrier Rules</w:t>
      </w:r>
    </w:p>
    <w:p>
      <w:pPr>
        <w:pStyle w:val="ListBullet"/>
      </w:pPr>
      <w:r>
        <w:rPr>
          <w:b/>
        </w:rPr>
        <w:t>Meta Description</w:t>
      </w:r>
      <w:r>
        <w:t>: Separate named RoRo carrier policies (Wallenius Wilhelmsen, Höegh Autoliners) — fuel, battery, SOC and operability — from AutoBridge's recommended pre-shipment inspection checklist; no universal fixed values.</w:t>
      </w:r>
    </w:p>
    <w:p>
      <w:pPr>
        <w:pStyle w:val="ListBullet"/>
      </w:pPr>
      <w:r>
        <w:rPr>
          <w:b/>
        </w:rPr>
        <w:t>Suggested URL</w:t>
      </w:r>
      <w:r>
        <w:t>: /guides/vehicle-export-pdi-pre-shipment-handover</w:t>
      </w:r>
    </w:p>
    <w:p>
      <w:pPr>
        <w:pStyle w:val="ListBullet"/>
      </w:pPr>
      <w:r>
        <w:rPr>
          <w:b/>
        </w:rPr>
        <w:t>H1</w:t>
      </w:r>
      <w:r>
        <w:t>: Preparing a Vehicle for RoRo or Container Export: What the Named Carriers Require and What We Recommend</w:t>
      </w:r>
    </w:p>
    <w:p>
      <w:pPr>
        <w:pStyle w:val="ListBullet"/>
      </w:pPr>
      <w:r>
        <w:rPr>
          <w:b/>
        </w:rPr>
        <w:t>Primary Keyword</w:t>
      </w:r>
      <w:r>
        <w:t>: vehicle export pre-shipment inspection PDI handover RoRo</w:t>
      </w:r>
    </w:p>
    <w:p>
      <w:pPr>
        <w:pStyle w:val="ListBullet"/>
      </w:pPr>
      <w:r>
        <w:rPr>
          <w:b/>
        </w:rPr>
        <w:t>Secondary Search Terms</w:t>
      </w:r>
      <w:r>
        <w:t>: Wallenius Wilhelmsen fuel quarter tank, Hoegh BEV SOC 50 percent, RoRo operable vehicle, disconnect 12V battery used car, pre-shipment photo record</w:t>
      </w:r>
    </w:p>
    <w:p>
      <w:pPr>
        <w:pStyle w:val="ListBullet"/>
      </w:pPr>
      <w:r>
        <w:rPr>
          <w:b/>
        </w:rPr>
        <w:t>Internal Link Suggestions</w:t>
      </w:r>
      <w:r>
        <w:t>: /guides/vehicle-export-bill-of-lading-types/ ; /guides/ev-shipping-un3556-imdg-compliance/ ; /guides/emission-fuel-compatibility-china-vehicles/</w:t>
      </w:r>
    </w:p>
    <w:p>
      <w:pPr>
        <w:pStyle w:val="ListBullet"/>
      </w:pPr>
      <w:r>
        <w:rPr>
          <w:b/>
        </w:rPr>
        <w:t>Image Suggestions</w:t>
      </w:r>
      <w:r>
        <w:t>: PDI checklist sheet; RoRo self-driving ramp; named-carrier vs editorial-recommendation split diagram</w:t>
      </w:r>
    </w:p>
    <w:p>
      <w:pPr>
        <w:pStyle w:val="ListBullet"/>
      </w:pPr>
      <w:r>
        <w:rPr>
          <w:b/>
        </w:rPr>
        <w:t>ALT Suggestions</w:t>
      </w:r>
      <w:r>
        <w:t>: "Named RoRo carrier requirements versus recommended pre-shipment checklist"</w:t>
      </w:r>
    </w:p>
    <w:p>
      <w:pPr>
        <w:pStyle w:val="Heading2"/>
      </w:pPr>
      <w:r>
        <w:t>Two Layers That Must Not Be Merged</w:t>
      </w:r>
    </w:p>
    <w:p>
      <w:r>
        <w:t xml:space="preserve">Damage disputes at destination almost always trace back to one question: what was the vehicle's condition, fuel/battery state and operability </w:t>
      </w:r>
      <w:r>
        <w:rPr>
          <w:b/>
        </w:rPr>
        <w:t>at handover</w:t>
      </w:r>
      <w:r>
        <w:t>? To answer it cleanly, this guide keeps two layers separate:</w:t>
      </w:r>
    </w:p>
    <w:p>
      <w:pPr>
        <w:pStyle w:val="ListNumber"/>
      </w:pPr>
      <w:r>
        <w:rPr>
          <w:b/>
        </w:rPr>
        <w:t>Named-carrier requirements (CARRIER_SPECIFIC)</w:t>
      </w:r>
      <w:r>
        <w:t xml:space="preserve"> — written policies of specific RoRo carriers, here </w:t>
      </w:r>
      <w:r>
        <w:rPr>
          <w:b/>
        </w:rPr>
        <w:t>Wallenius Wilhelmsen (WW)</w:t>
      </w:r>
      <w:r>
        <w:t xml:space="preserve"> and </w:t>
      </w:r>
      <w:r>
        <w:rPr>
          <w:b/>
        </w:rPr>
        <w:t>Höegh Autoliners (Höegh)</w:t>
      </w:r>
      <w:r>
        <w:t xml:space="preserve">. These are </w:t>
      </w:r>
      <w:r>
        <w:rPr>
          <w:b/>
        </w:rPr>
        <w:t>carrier policies, not international regulations</w:t>
      </w:r>
      <w:r>
        <w:t>, they are not universal across all shipping lines, and the booked carrier's written instructions always govern.</w:t>
      </w:r>
    </w:p>
    <w:p>
      <w:pPr>
        <w:pStyle w:val="ListNumber"/>
      </w:pPr>
      <w:r>
        <w:rPr>
          <w:b/>
        </w:rPr>
        <w:t>AutoBridge recommended pre-shipment checklist (EDITORIAL_RECOMMENDATION)</w:t>
      </w:r>
      <w:r>
        <w:t xml:space="preserve"> — an inspection/record-keeping method this guide recommends for evidence. It is </w:t>
      </w:r>
      <w:r>
        <w:rPr>
          <w:b/>
        </w:rPr>
        <w:t>not</w:t>
      </w:r>
      <w:r>
        <w:t xml:space="preserve"> an industry-mandatory procedure and is not presented as one.</w:t>
      </w:r>
    </w:p>
    <w:p>
      <w:pPr>
        <w:pStyle w:val="Heading2"/>
      </w:pPr>
      <w:r>
        <w:t>Named-Carrier Policies (CARRIER_SPECIFIC — cite the carrier by name)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Wallenius Wilhelmsen</w:t>
            </w:r>
          </w:p>
        </w:tc>
        <w:tc>
          <w:tcPr>
            <w:tcW w:type="dxa" w:w="2160"/>
          </w:tcPr>
          <w:p>
            <w:r>
              <w:t>Höegh Autoliners</w:t>
            </w:r>
          </w:p>
        </w:tc>
        <w:tc>
          <w:tcPr>
            <w:tcW w:type="dxa" w:w="2160"/>
          </w:tcPr>
          <w:p>
            <w:r>
              <w:t>Nature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Fuel / gas level</w:t>
            </w:r>
          </w:p>
        </w:tc>
        <w:tc>
          <w:tcPr>
            <w:tcW w:type="dxa" w:w="2160"/>
          </w:tcPr>
          <w:p>
            <w:r>
              <w:t xml:space="preserve">Tank about </w:t>
            </w:r>
            <w:r>
              <w:rPr>
                <w:b/>
              </w:rPr>
              <w:t>one-quarter full</w:t>
            </w:r>
            <w:r>
              <w:t xml:space="preserve"> (enough to self-drive on/off)</w:t>
            </w:r>
          </w:p>
        </w:tc>
        <w:tc>
          <w:tcPr>
            <w:tcW w:type="dxa" w:w="2160"/>
          </w:tcPr>
          <w:p>
            <w:r>
              <w:t xml:space="preserve">Tank about </w:t>
            </w:r>
            <w:r>
              <w:rPr>
                <w:b/>
              </w:rPr>
              <w:t>one-quarter full</w:t>
            </w:r>
          </w:p>
        </w:tc>
        <w:tc>
          <w:tcPr>
            <w:tcW w:type="dxa" w:w="2160"/>
          </w:tcPr>
          <w:p>
            <w:r>
              <w:t>Carrier policy; cross-checked for these two named lines only — not a universal rule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Used ICE battery</w:t>
            </w:r>
          </w:p>
        </w:tc>
        <w:tc>
          <w:tcPr>
            <w:tcW w:type="dxa" w:w="2160"/>
          </w:tcPr>
          <w:p>
            <w:r>
              <w:t xml:space="preserve">For used units </w:t>
            </w:r>
            <w:r>
              <w:rPr>
                <w:b/>
              </w:rPr>
              <w:t>without a battery kill-switch</w:t>
            </w:r>
            <w:r>
              <w:t>, disconnect the 12/24V after lashing (exceptions per WW instruction)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WW-specific; single-source carrier rule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BEV high-voltage SOC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SOC no more than 50%</w:t>
            </w:r>
            <w:r>
              <w:t>, while retaining enough charge for loading/unloading/storage; HEV: ≤¼ fuel plus SOC guidance</w:t>
            </w:r>
          </w:p>
        </w:tc>
        <w:tc>
          <w:tcPr>
            <w:tcW w:type="dxa" w:w="2160"/>
          </w:tcPr>
          <w:p>
            <w:r>
              <w:t xml:space="preserve">Höegh-specific; </w:t>
            </w:r>
            <w:r>
              <w:rPr>
                <w:b/>
              </w:rPr>
              <w:t>not</w:t>
            </w:r>
            <w:r>
              <w:t xml:space="preserve"> a global SOC ceiling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Operability</w:t>
            </w:r>
          </w:p>
        </w:tc>
        <w:tc>
          <w:tcPr>
            <w:tcW w:type="dxa" w:w="2160"/>
          </w:tcPr>
          <w:p>
            <w:r>
              <w:t>RoRo units must self-drive safely on/off (move/brake/steer); faulty or leaking units may be rejected</w:t>
            </w:r>
          </w:p>
        </w:tc>
        <w:tc>
          <w:tcPr>
            <w:tcW w:type="dxa" w:w="2160"/>
          </w:tcPr>
          <w:p>
            <w:r>
              <w:t>Same self-driving requirement</w:t>
            </w:r>
          </w:p>
        </w:tc>
        <w:tc>
          <w:tcPr>
            <w:tcW w:type="dxa" w:w="2160"/>
          </w:tcPr>
          <w:p>
            <w:r>
              <w:t>Carrier receiving rule for these two named lines</w:t>
            </w:r>
          </w:p>
        </w:tc>
      </w:tr>
    </w:tbl>
    <w:p/>
    <w:p>
      <w:r>
        <w:t xml:space="preserve">These requirements are quoted to named carriers precisely because they </w:t>
      </w:r>
      <w:r>
        <w:rPr>
          <w:b/>
        </w:rPr>
        <w:t>vary by line and by voyage</w:t>
      </w:r>
      <w:r>
        <w:t>: a Chinese RoRo/container carrier or another line may set different levels. Never state "carriers require X" without naming the carrier and checking its current written guide.</w:t>
      </w:r>
    </w:p>
    <w:p>
      <w:pPr>
        <w:pStyle w:val="Heading2"/>
      </w:pPr>
      <w:r>
        <w:t>AutoBridge Recommended Pre-Shipment Checklist (editorial method, not mandatory)</w:t>
      </w:r>
    </w:p>
    <w:p>
      <w:r>
        <w:t xml:space="preserve">The following is </w:t>
      </w:r>
      <w:r>
        <w:rPr>
          <w:b/>
        </w:rPr>
        <w:t>our recommended sourcing/handover method</w:t>
      </w:r>
      <w:r>
        <w:t>, offered to build an evidence trail; it is not a statutory or universal carrier procedure:</w:t>
      </w:r>
    </w:p>
    <w:p>
      <w:pPr>
        <w:pStyle w:val="ListBullet"/>
      </w:pPr>
      <w:r>
        <w:t>Exterior body and paint walk-around; note every existing mark.</w:t>
      </w:r>
    </w:p>
    <w:p>
      <w:pPr>
        <w:pStyle w:val="ListBullet"/>
      </w:pPr>
      <w:r>
        <w:t>Dashboard warning-light check (MIL/ABS/SRS/TPMS) before handover.</w:t>
      </w:r>
    </w:p>
    <w:p>
      <w:pPr>
        <w:pStyle w:val="ListBullet"/>
      </w:pPr>
      <w:r>
        <w:t>Inventory of tools, spare key, charging cable and onboard accessories.</w:t>
      </w:r>
    </w:p>
    <w:p>
      <w:pPr>
        <w:pStyle w:val="ListBullet"/>
      </w:pPr>
      <w:r>
        <w:t>Record odometer reading and fuel/SOC level at handover.</w:t>
      </w:r>
    </w:p>
    <w:p>
      <w:pPr>
        <w:pStyle w:val="ListBullet"/>
      </w:pPr>
      <w:r>
        <w:rPr>
          <w:b/>
        </w:rPr>
        <w:t>Photo record</w:t>
      </w:r>
      <w:r>
        <w:t>: dated photos carrying mileage and condition, kept for destination damage comparison.</w:t>
      </w:r>
    </w:p>
    <w:p>
      <w:pPr>
        <w:pStyle w:val="ListBullet"/>
      </w:pPr>
      <w:r>
        <w:rPr>
          <w:b/>
        </w:rPr>
        <w:t>Joint handover record</w:t>
      </w:r>
      <w:r>
        <w:t>: inspect the vehicle together with the terminal and sign a handover sheet, retaining a copy.</w:t>
      </w:r>
    </w:p>
    <w:p>
      <w:pPr>
        <w:pStyle w:val="Heading2"/>
      </w:pPr>
      <w:r>
        <w:t>Items to Confirm With Carrier or OEM (no fixed values asserted)</w:t>
      </w:r>
    </w:p>
    <w:p>
      <w:r>
        <w:t xml:space="preserve">Lashing point count, strap breaking strength, anti-slip mats, vehicle heading/orientation in the container, tyre-pressure adjustment and any uniform SOC figure: the batch obtained </w:t>
      </w:r>
      <w:r>
        <w:rPr>
          <w:b/>
        </w:rPr>
        <w:t>no OEM transport-mode manual or formal carrier/terminal guide</w:t>
      </w:r>
      <w:r>
        <w:t xml:space="preserve"> establishing fixed values, so these are presented only as </w:t>
      </w:r>
      <w:r>
        <w:rPr>
          <w:b/>
        </w:rPr>
        <w:t>items to confirm with the booked carrier / OEM transport-mode manual</w:t>
      </w:r>
      <w:r>
        <w:t>. No fixed percentage, strap rating or orientation is stated as a standard.</w:t>
      </w:r>
    </w:p>
    <w:p>
      <w:pPr>
        <w:pStyle w:val="Heading2"/>
      </w:pPr>
      <w:r>
        <w:t>The Handover Sequence We Recommend</w:t>
      </w:r>
    </w:p>
    <w:p>
      <w:pPr>
        <w:pStyle w:val="ListNumber"/>
      </w:pPr>
      <w:r>
        <w:t>Run the editorial PDI and capture dated photos (recommendation).</w:t>
      </w:r>
    </w:p>
    <w:p>
      <w:pPr>
        <w:pStyle w:val="ListNumber"/>
      </w:pPr>
      <w:r>
        <w:t xml:space="preserve">Set fuel/SOC to the </w:t>
      </w:r>
      <w:r>
        <w:rPr>
          <w:b/>
        </w:rPr>
        <w:t>booked named carrier's</w:t>
      </w:r>
      <w:r>
        <w:t xml:space="preserve"> written level (WW/Höegh as above; otherwise obtain that carrier's guide).</w:t>
      </w:r>
    </w:p>
    <w:p>
      <w:pPr>
        <w:pStyle w:val="ListNumber"/>
      </w:pPr>
      <w:r>
        <w:t>Confirm operability (move/brake/steer) and resolve leaks/warning lights.</w:t>
      </w:r>
    </w:p>
    <w:p>
      <w:pPr>
        <w:pStyle w:val="ListNumber"/>
      </w:pPr>
      <w:r>
        <w:t>At the terminal, do the joint inspection and sign the handover record (recommendation).</w:t>
      </w:r>
    </w:p>
    <w:p>
      <w:pPr>
        <w:pStyle w:val="ListNumber"/>
      </w:pPr>
      <w:r>
        <w:t>File photos + handover sheet with the B/L so any destination claim has a baseline.</w:t>
      </w:r>
    </w:p>
    <w:p>
      <w:pPr>
        <w:pStyle w:val="Heading2"/>
      </w:pPr>
      <w:r>
        <w:t>Boundaries of This Guide</w:t>
      </w:r>
    </w:p>
    <w:p>
      <w:pPr>
        <w:pStyle w:val="ListBullet"/>
      </w:pPr>
      <w:r>
        <w:t xml:space="preserve">WW/Höegh items are </w:t>
      </w:r>
      <w:r>
        <w:rPr>
          <w:b/>
        </w:rPr>
        <w:t>CARRIER_SPECIFIC</w:t>
      </w:r>
      <w:r>
        <w:t>, never generalized to "all carriers" or to regulation.</w:t>
      </w:r>
    </w:p>
    <w:p>
      <w:pPr>
        <w:pStyle w:val="ListBullet"/>
      </w:pPr>
      <w:r>
        <w:t xml:space="preserve">The checklist is </w:t>
      </w:r>
      <w:r>
        <w:rPr>
          <w:b/>
        </w:rPr>
        <w:t>editorial recommendation</w:t>
      </w:r>
      <w:r>
        <w:t>, not a mandatory industry procedure.</w:t>
      </w:r>
    </w:p>
    <w:p>
      <w:pPr>
        <w:pStyle w:val="ListBullet"/>
      </w:pPr>
      <w:r>
        <w:t xml:space="preserve">Fixed lashing/pressure/orientation/SOC numbers beyond the named carriers are </w:t>
      </w:r>
      <w:r>
        <w:rPr>
          <w:b/>
        </w:rPr>
        <w:t>blocked pending OEM/carrier primary documents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Is a quarter tank a legal requirement?</w:t>
      </w:r>
      <w:r>
        <w:t xml:space="preserve"> No — it is a written policy of named RoRo carriers such as Wallenius Wilhelmsen and Höegh; follow the booked carrier's instruction.</w:t>
      </w:r>
    </w:p>
    <w:p>
      <w:r>
        <w:rPr>
          <w:b/>
        </w:rPr>
        <w:t>Must every EV ship at 50% SOC?</w:t>
      </w:r>
      <w:r>
        <w:t xml:space="preserve"> That figure is a Höegh Autoliners policy, not a universal cap; confirm the booked carrier's SOC requirement voyage by voyage.</w:t>
      </w:r>
    </w:p>
    <w:p>
      <w:r>
        <w:rPr>
          <w:b/>
        </w:rPr>
        <w:t>Is the photo/handover record mandatory?</w:t>
      </w:r>
      <w:r>
        <w:t xml:space="preserve"> It is AutoBridge's recommended evidence method, not a statutory requirement — but it materially strengthens a destination damage claim.</w:t>
      </w:r>
    </w:p>
    <w:p>
      <w:r>
        <w:rPr>
          <w:b/>
        </w:rPr>
        <w:t>Who decides lashing points and strap ratings?</w:t>
      </w:r>
      <w:r>
        <w:t xml:space="preserve"> The carrier/terminal and the OEM transport-mode manual; do not assume fixed values without their documents.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Pre-shipment PDI and handover for RoRo/container,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Pre-shipment PDI and handover for RoRo/container,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Pre-shipment PDI and handover for RoRo/container,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Pre-shipment PDI and handover for RoRo/container,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Pre-shipment PDI and handover for RoRo/container,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輸出バイヤー向けリファレンス｜Pre-shipment PDI and handover for RoRo/container,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자료｜Pre-shipment PDI and handover for RoRo/container,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Pre-shipment PDI and handover for RoRo/container,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Pre-shipment PDI and handover for RoRo/container,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Pre-shipment PDI and handover for RoRo/container,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Pre-shipment PDI and handover for RoRo/container,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出口采购参考｜Pre-shipment PDI and handover for RoRo/container,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WW Cargo Handling Instructions (fuel ≤¼)</w:t>
            </w:r>
          </w:p>
        </w:tc>
        <w:tc>
          <w:tcPr>
            <w:tcW w:type="dxa" w:w="1234"/>
          </w:tcPr>
          <w:p>
            <w:r>
              <w:t>Wallenius Wilhelmsen (RoRo carrier)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https://cargohandlinginstruction.walleniuswilhelmsen.com/pdf-files/WW-CHI-250731-1.31.pdf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 (primary carrier)</w:t>
            </w:r>
          </w:p>
        </w:tc>
        <w:tc>
          <w:tcPr>
            <w:tcW w:type="dxa" w:w="1234"/>
          </w:tcPr>
          <w:p>
            <w:r>
              <w:t>Fuel level, operability</w:t>
            </w:r>
          </w:p>
        </w:tc>
      </w:tr>
      <w:tr>
        <w:tc>
          <w:tcPr>
            <w:tcW w:type="dxa" w:w="1234"/>
          </w:tcPr>
          <w:p>
            <w:r>
              <w:t>WW Receiving of used units (disconnect 12/24V without kill-switch)</w:t>
            </w:r>
          </w:p>
        </w:tc>
        <w:tc>
          <w:tcPr>
            <w:tcW w:type="dxa" w:w="1234"/>
          </w:tcPr>
          <w:p>
            <w:r>
              <w:t>Wallenius Wilhelmsen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https://cargohandlinginstruction.walleniuswilhelmsen.com/terminal/receiving-of-used-units-draft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(primary carrier)</w:t>
            </w:r>
          </w:p>
        </w:tc>
        <w:tc>
          <w:tcPr>
            <w:tcW w:type="dxa" w:w="1234"/>
          </w:tcPr>
          <w:p>
            <w:r>
              <w:t>Used-ICE battery disconnect</w:t>
            </w:r>
          </w:p>
        </w:tc>
      </w:tr>
      <w:tr>
        <w:tc>
          <w:tcPr>
            <w:tcW w:type="dxa" w:w="1234"/>
          </w:tcPr>
          <w:p>
            <w:r>
              <w:t>Höegh Automotive shipping (≤¼ fuel; BEV SOC; operability)</w:t>
            </w:r>
          </w:p>
        </w:tc>
        <w:tc>
          <w:tcPr>
            <w:tcW w:type="dxa" w:w="1234"/>
          </w:tcPr>
          <w:p>
            <w:r>
              <w:t>Höegh Autoliners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https://www.hoeghautoliners.com/what-we-ship/automotive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(primary carrier)</w:t>
            </w:r>
          </w:p>
        </w:tc>
        <w:tc>
          <w:tcPr>
            <w:tcW w:type="dxa" w:w="1234"/>
          </w:tcPr>
          <w:p>
            <w:r>
              <w:t>BEV ≤50% SOC, fuel, operability</w:t>
            </w:r>
          </w:p>
        </w:tc>
      </w:tr>
      <w:tr>
        <w:tc>
          <w:tcPr>
            <w:tcW w:type="dxa" w:w="1234"/>
          </w:tcPr>
          <w:p>
            <w:r>
              <w:t>Höegh Trucks/Buses/Trailers shipping</w:t>
            </w:r>
          </w:p>
        </w:tc>
        <w:tc>
          <w:tcPr>
            <w:tcW w:type="dxa" w:w="1234"/>
          </w:tcPr>
          <w:p>
            <w:r>
              <w:t>Höegh Autoliners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https://www.hoeghautoliners.com/what-we-ship/trucks-buses-and-trailers-shipping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(primary carrier)</w:t>
            </w:r>
          </w:p>
        </w:tc>
        <w:tc>
          <w:tcPr>
            <w:tcW w:type="dxa" w:w="1234"/>
          </w:tcPr>
          <w:p>
            <w:r>
              <w:t>Commercial-unit receiving</w:t>
            </w:r>
          </w:p>
        </w:tc>
      </w:tr>
      <w:tr>
        <w:tc>
          <w:tcPr>
            <w:tcW w:type="dxa" w:w="1234"/>
          </w:tcPr>
          <w:p>
            <w:r>
              <w:t>Pre-shipment inspection &amp; handover practice</w:t>
            </w:r>
          </w:p>
        </w:tc>
        <w:tc>
          <w:tcPr>
            <w:tcW w:type="dxa" w:w="1234"/>
          </w:tcPr>
          <w:p>
            <w:r>
              <w:t>11467 industry pages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https://m.11467.com/product/d55278360.htm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(editorial basis)</w:t>
            </w:r>
          </w:p>
        </w:tc>
        <w:tc>
          <w:tcPr>
            <w:tcW w:type="dxa" w:w="1234"/>
          </w:tcPr>
          <w:p>
            <w:r>
              <w:t>Recommended checklist/photo/handover</w:t>
            </w:r>
          </w:p>
        </w:tc>
      </w:tr>
    </w:tbl>
    <w:p/>
    <w:p>
      <w:r>
        <w:t>*Evidence scope: named-carrier policies verified to WW/Höegh primary guides (carrier policy, not regulation, not universal); checklist is editorial recommendation; fixed lashing/pressure/orientation values blocked pending OEM/carrier documents.*</w:t>
      </w:r>
    </w:p>
    <w:p>
      <w:r>
        <w:t>| IMO/ILO/UNECE CTU Code — handling and securing cargo transport units | International Maritime Organization (IMO) | INT'L | https://www.imo.org/en/OurWork/Safety/Pages/CTU-Code.aspx | 2026-09-05 | VERIFIED | General handling/securing baseline; carrier rules remain stricter and route-specific |</w:t>
      </w:r>
    </w:p>
    <w:p>
      <w:r>
        <w:t>| Cargo/transit insurance and marine risk reference | International Union of Marine Insurance (IUMI) | INT'L | https://iumi.com/ | 2026-09-05 | VERIFIED | Why documented PDI/handover evidence matters for cargo-claims handling |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International RoRo/container export (named-carrier policies) + editorial checklist</w:t>
      </w:r>
    </w:p>
    <w:p>
      <w:pPr>
        <w:pStyle w:val="ListBullet"/>
      </w:pPr>
      <w:r>
        <w:rPr>
          <w:b/>
        </w:rPr>
        <w:t>Verification method</w:t>
      </w:r>
      <w:r>
        <w:t>: Named-carrier primary guides separated from editorial recommendation; no universal fixed values</w:t>
      </w:r>
    </w:p>
    <w:p>
      <w:pPr>
        <w:pStyle w:val="ListBullet"/>
      </w:pPr>
      <w:r>
        <w:rPr>
          <w:b/>
        </w:rPr>
        <w:t>Transparency</w:t>
      </w:r>
      <w:r>
        <w:t>: Prepared with AI assistance and editorially checked by the AutoBridge Export Editorial Team. It is source-based desk research, not first-hand testing;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rPr>
          <w:b/>
        </w:rPr>
        <w:t>Tags</w:t>
      </w:r>
      <w:r>
        <w:t>: #PDI #PreShipment #RoRo #CarrierRules #VehicleExport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