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China Export-Side Statutory Inspection and Customs Declaration for Vehicles</w:t>
      </w:r>
    </w:p>
    <w:p>
      <w:pPr>
        <w:pStyle w:val="Heading1"/>
      </w:pPr>
      <w:r>
        <w:t>SEO Metadata</w:t>
      </w:r>
    </w:p>
    <w:p>
      <w:pPr>
        <w:pStyle w:val="ListBullet"/>
      </w:pPr>
      <w:r>
        <w:rPr>
          <w:b/>
        </w:rPr>
        <w:t>SEO Title</w:t>
      </w:r>
      <w:r>
        <w:t>: China Vehicle Export Inspection &amp; Customs Declaration Guide</w:t>
      </w:r>
    </w:p>
    <w:p>
      <w:pPr>
        <w:pStyle w:val="ListBullet"/>
      </w:pPr>
      <w:r>
        <w:rPr>
          <w:b/>
        </w:rPr>
        <w:t>Meta Description</w:t>
      </w:r>
      <w:r>
        <w:t>: Whether an exported vehicle needs China statutory inspection, how export commodity inspection and declaration work, accompanying documents, signature liability, and why statutory inspection differs from buyer-arranged PSI.</w:t>
      </w:r>
    </w:p>
    <w:p>
      <w:pPr>
        <w:pStyle w:val="ListBullet"/>
      </w:pPr>
      <w:r>
        <w:rPr>
          <w:b/>
        </w:rPr>
        <w:t>Suggested URL</w:t>
      </w:r>
      <w:r>
        <w:t>: /guides/china-export-statutory-inspection-declaration</w:t>
      </w:r>
    </w:p>
    <w:p>
      <w:pPr>
        <w:pStyle w:val="ListBullet"/>
      </w:pPr>
      <w:r>
        <w:rPr>
          <w:b/>
        </w:rPr>
        <w:t>H1</w:t>
      </w:r>
      <w:r>
        <w:t>: Does a Vehicle Need Statutory Inspection Before Export? A China-Side Declaration Guide</w:t>
      </w:r>
    </w:p>
    <w:p>
      <w:pPr>
        <w:pStyle w:val="ListBullet"/>
      </w:pPr>
      <w:r>
        <w:rPr>
          <w:b/>
        </w:rPr>
        <w:t>Primary Keyword</w:t>
      </w:r>
      <w:r>
        <w:t>: china export statutory inspection customs declaration vehicles</w:t>
      </w:r>
    </w:p>
    <w:p>
      <w:pPr>
        <w:pStyle w:val="ListBullet"/>
      </w:pPr>
      <w:r>
        <w:rPr>
          <w:b/>
        </w:rPr>
        <w:t>Secondary Search Terms</w:t>
      </w:r>
      <w:r>
        <w:t>: China export commodity inspection, 法定检验 出口, customs declaration GACC order 277, pre-declaration inspection, PSI vs statutory inspection</w:t>
      </w:r>
    </w:p>
    <w:p>
      <w:pPr>
        <w:pStyle w:val="ListBullet"/>
      </w:pPr>
      <w:r>
        <w:rPr>
          <w:b/>
        </w:rPr>
        <w:t>Internal Link Suggestions</w:t>
      </w:r>
      <w:r>
        <w:t>: /guides/vehicle-export-hs-code-classification/ ; /guides/export-vehicle-document-package/ ; /guides/china-export-certificate-of-origin/</w:t>
      </w:r>
    </w:p>
    <w:p>
      <w:pPr>
        <w:pStyle w:val="ListBullet"/>
      </w:pPr>
      <w:r>
        <w:rPr>
          <w:b/>
        </w:rPr>
        <w:t>Image Suggestions</w:t>
      </w:r>
      <w:r>
        <w:t>: statutory inspection vs PSI two-path diagram; declaration document stack; customs seal</w:t>
      </w:r>
    </w:p>
    <w:p>
      <w:pPr>
        <w:pStyle w:val="ListBullet"/>
      </w:pPr>
      <w:r>
        <w:rPr>
          <w:b/>
        </w:rPr>
        <w:t>ALT Suggestions</w:t>
      </w:r>
      <w:r>
        <w:t>: "China export statutory inspection versus third-party PSI"</w:t>
      </w:r>
    </w:p>
    <w:p>
      <w:pPr>
        <w:pStyle w:val="Heading1"/>
      </w:pPr>
      <w:r>
        <w:t>The Question Exporters Actually Ask</w:t>
      </w:r>
    </w:p>
    <w:p>
      <w:r>
        <w:t xml:space="preserve">"Do I have to get the car inspected by the Chinese authority before it ships, or is the buyer's inspection company enough?" These are </w:t>
      </w:r>
      <w:r>
        <w:rPr>
          <w:b/>
        </w:rPr>
        <w:t>two different things</w:t>
      </w:r>
      <w:r>
        <w:t xml:space="preserve">, and conflating them is a recurring cause of port delays. One is China's </w:t>
      </w:r>
      <w:r>
        <w:rPr>
          <w:b/>
        </w:rPr>
        <w:t>statutory inspection regime</w:t>
      </w:r>
      <w:r>
        <w:t xml:space="preserve"> for listed export commodities; the other is a </w:t>
      </w:r>
      <w:r>
        <w:rPr>
          <w:b/>
        </w:rPr>
        <w:t>commercial pre-shipment inspection (PSI)</w:t>
      </w:r>
      <w:r>
        <w:t xml:space="preserve"> the buyer buys from a third party. This page covers the </w:t>
      </w:r>
      <w:r>
        <w:rPr>
          <w:b/>
        </w:rPr>
        <w:t>China export side only</w:t>
      </w:r>
      <w:r>
        <w:t>.</w:t>
      </w:r>
    </w:p>
    <w:p>
      <w:pPr>
        <w:pStyle w:val="Heading1"/>
      </w:pPr>
      <w:r>
        <w:t>Statutory Inspection: the Legal Frame</w:t>
      </w:r>
    </w:p>
    <w:p>
      <w:r>
        <w:t xml:space="preserve">Under the </w:t>
      </w:r>
      <w:r>
        <w:rPr>
          <w:i/>
        </w:rPr>
        <w:t>Import and Export Commodity Inspection Law</w:t>
      </w:r>
      <w:r>
        <w:t xml:space="preserve"> and its implementing regulations, export commodities placed on the </w:t>
      </w:r>
      <w:r>
        <w:rPr>
          <w:b/>
        </w:rPr>
        <w:t>statutory-inspection catalogue must be submitted for inspection</w:t>
      </w:r>
      <w:r>
        <w:t xml:space="preserve">, and goods that have not been inspected — or that fail — are </w:t>
      </w:r>
      <w:r>
        <w:rPr>
          <w:b/>
        </w:rPr>
        <w:t>not permitted for export</w:t>
      </w:r>
      <w:r>
        <w:t xml:space="preserve">. Inspection of export goods is, in principle, carried out at the </w:t>
      </w:r>
      <w:r>
        <w:rPr>
          <w:b/>
        </w:rPr>
        <w:t>place of production</w:t>
      </w:r>
      <w:r>
        <w:t>, although the customs authority may designate another location.</w:t>
      </w:r>
    </w:p>
    <w:p>
      <w:pPr>
        <w:pStyle w:val="ListBullet"/>
      </w:pPr>
      <w:r>
        <w:t xml:space="preserve">Whether a </w:t>
      </w:r>
      <w:r>
        <w:rPr>
          <w:b/>
        </w:rPr>
        <w:t>complete motor vehicle currently sits inside the statutory-inspection catalogue, and under which supervision condition</w:t>
      </w:r>
      <w:r>
        <w:t xml:space="preserve">, is a </w:t>
      </w:r>
      <w:r>
        <w:rPr>
          <w:b/>
        </w:rPr>
        <w:t>time-sensitive question</w:t>
      </w:r>
      <w:r>
        <w:t xml:space="preserve"> that must be answered against the </w:t>
      </w:r>
      <w:r>
        <w:rPr>
          <w:b/>
        </w:rPr>
        <w:t>current GACC catalogue</w:t>
      </w:r>
      <w:r>
        <w:t xml:space="preserve"> — this guide does not assert a catalogue entry it did not verify.</w:t>
      </w:r>
    </w:p>
    <w:p>
      <w:pPr>
        <w:pStyle w:val="ListBullet"/>
      </w:pPr>
      <w:r>
        <w:t xml:space="preserve">Process changes occur by GACC notice (e.g., the 2025 No.138 notice optimizing the </w:t>
      </w:r>
      <w:r>
        <w:rPr>
          <w:i/>
        </w:rPr>
        <w:t>pre-declaration inspection/quarantine application</w:t>
      </w:r>
      <w:r>
        <w:t xml:space="preserve"> for export goods, which does not cover administrative-licensing matters). Cite the notice number and date when relying on one.</w:t>
      </w:r>
    </w:p>
    <w:p>
      <w:pPr>
        <w:pStyle w:val="Heading1"/>
      </w:pPr>
      <w:r>
        <w:t>Declaration: Documents and Who Signs</w:t>
      </w:r>
    </w:p>
    <w:p>
      <w:r>
        <w:t xml:space="preserve">Per </w:t>
      </w:r>
      <w:r>
        <w:rPr>
          <w:b/>
        </w:rPr>
        <w:t>GACC Order No.277 (Provisions on the Declaration of Import and Export Goods)</w:t>
      </w:r>
      <w:r>
        <w:t xml:space="preserve">, export goods requiring inspection/quarantine must carry the </w:t>
      </w:r>
      <w:r>
        <w:rPr>
          <w:b/>
        </w:rPr>
        <w:t>required accompanying documents</w:t>
      </w:r>
      <w:r>
        <w:t xml:space="preserve"> as prescribed, and a declaration made in one's own name is </w:t>
      </w:r>
      <w:r>
        <w:rPr>
          <w:b/>
        </w:rPr>
        <w:t>stamped/signed by the consignor or consignee</w:t>
      </w:r>
      <w:r>
        <w:t>, who carries declaration responsibility. In practice the exporter (or its customs broker) assembles the commercial invoice, packing list, the vehicle's manufacturer certificate and conformity document, and any licence paperwork before declaration — see the export document-package guide for the vehicle-specific set.</w:t>
      </w:r>
    </w:p>
    <w:p>
      <w:pPr>
        <w:pStyle w:val="Heading1"/>
      </w:pPr>
      <w:r>
        <w:t>Statutory Inspection vs Buyer PSI — Keep Them Separate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AF0F6"/>
          </w:tcPr>
          <w:p>
            <w:r>
              <w:rPr>
                <w:b/>
                <w:sz w:val="20"/>
              </w:rPr>
            </w:r>
            <w:r>
              <w:rPr>
                <w:b/>
                <w:sz w:val="20"/>
              </w:rPr>
              <w:t>Dimension</w:t>
            </w:r>
          </w:p>
        </w:tc>
        <w:tc>
          <w:tcPr>
            <w:tcW w:type="dxa" w:w="2880"/>
            <w:shd w:val="clear" w:fill="EAF0F6"/>
          </w:tcPr>
          <w:p>
            <w:r>
              <w:rPr>
                <w:b/>
                <w:sz w:val="20"/>
              </w:rPr>
            </w:r>
            <w:r>
              <w:rPr>
                <w:b/>
                <w:sz w:val="20"/>
              </w:rPr>
              <w:t>China statutory inspection</w:t>
            </w:r>
          </w:p>
        </w:tc>
        <w:tc>
          <w:tcPr>
            <w:tcW w:type="dxa" w:w="2880"/>
            <w:shd w:val="clear" w:fill="EAF0F6"/>
          </w:tcPr>
          <w:p>
            <w:r>
              <w:rPr>
                <w:b/>
                <w:sz w:val="20"/>
              </w:rPr>
            </w:r>
            <w:r>
              <w:rPr>
                <w:b/>
                <w:sz w:val="20"/>
              </w:rPr>
              <w:t>Third-party PSI</w:t>
            </w:r>
          </w:p>
        </w:tc>
      </w:tr>
      <w:tr>
        <w:tc>
          <w:tcPr>
            <w:tcW w:type="dxa" w:w="2880"/>
          </w:tcPr>
          <w:p>
            <w:r>
              <w:rPr>
                <w:sz w:val="20"/>
              </w:rPr>
            </w:r>
            <w:r>
              <w:rPr>
                <w:sz w:val="20"/>
              </w:rPr>
              <w:t>Who requires it</w:t>
            </w:r>
          </w:p>
        </w:tc>
        <w:tc>
          <w:tcPr>
            <w:tcW w:type="dxa" w:w="2880"/>
          </w:tcPr>
          <w:p>
            <w:r>
              <w:rPr>
                <w:sz w:val="20"/>
              </w:rPr>
            </w:r>
            <w:r>
              <w:rPr>
                <w:sz w:val="20"/>
              </w:rPr>
              <w:t>Chinese regulation for catalogue goods</w:t>
            </w:r>
          </w:p>
        </w:tc>
        <w:tc>
          <w:tcPr>
            <w:tcW w:type="dxa" w:w="2880"/>
          </w:tcPr>
          <w:p>
            <w:r>
              <w:rPr>
                <w:sz w:val="20"/>
              </w:rPr>
            </w:r>
            <w:r>
              <w:rPr>
                <w:sz w:val="20"/>
              </w:rPr>
              <w:t>The buyer / contract / L/C</w:t>
            </w:r>
          </w:p>
        </w:tc>
      </w:tr>
      <w:tr>
        <w:tc>
          <w:tcPr>
            <w:tcW w:type="dxa" w:w="2880"/>
          </w:tcPr>
          <w:p>
            <w:r>
              <w:rPr>
                <w:sz w:val="20"/>
              </w:rPr>
            </w:r>
            <w:r>
              <w:rPr>
                <w:sz w:val="20"/>
              </w:rPr>
              <w:t>Who performs it</w:t>
            </w:r>
          </w:p>
        </w:tc>
        <w:tc>
          <w:tcPr>
            <w:tcW w:type="dxa" w:w="2880"/>
          </w:tcPr>
          <w:p>
            <w:r>
              <w:rPr>
                <w:sz w:val="20"/>
              </w:rPr>
            </w:r>
            <w:r>
              <w:rPr>
                <w:sz w:val="20"/>
              </w:rPr>
              <w:t>Customs (GACC) system</w:t>
            </w:r>
          </w:p>
        </w:tc>
        <w:tc>
          <w:tcPr>
            <w:tcW w:type="dxa" w:w="2880"/>
          </w:tcPr>
          <w:p>
            <w:r>
              <w:rPr>
                <w:sz w:val="20"/>
              </w:rPr>
            </w:r>
            <w:r>
              <w:rPr>
                <w:sz w:val="20"/>
              </w:rPr>
              <w:t>Commercial inspection company</w:t>
            </w:r>
          </w:p>
        </w:tc>
      </w:tr>
      <w:tr>
        <w:tc>
          <w:tcPr>
            <w:tcW w:type="dxa" w:w="2880"/>
          </w:tcPr>
          <w:p>
            <w:r>
              <w:rPr>
                <w:sz w:val="20"/>
              </w:rPr>
            </w:r>
            <w:r>
              <w:rPr>
                <w:sz w:val="20"/>
              </w:rPr>
              <w:t>Trigger</w:t>
            </w:r>
          </w:p>
        </w:tc>
        <w:tc>
          <w:tcPr>
            <w:tcW w:type="dxa" w:w="2880"/>
          </w:tcPr>
          <w:p>
            <w:r>
              <w:rPr>
                <w:sz w:val="20"/>
              </w:rPr>
            </w:r>
            <w:r>
              <w:rPr>
                <w:sz w:val="20"/>
              </w:rPr>
              <w:t>Listed commodity + export</w:t>
            </w:r>
          </w:p>
        </w:tc>
        <w:tc>
          <w:tcPr>
            <w:tcW w:type="dxa" w:w="2880"/>
          </w:tcPr>
          <w:p>
            <w:r>
              <w:rPr>
                <w:sz w:val="20"/>
              </w:rPr>
            </w:r>
            <w:r>
              <w:rPr>
                <w:sz w:val="20"/>
              </w:rPr>
              <w:t>Commercial agreement</w:t>
            </w:r>
          </w:p>
        </w:tc>
      </w:tr>
      <w:tr>
        <w:tc>
          <w:tcPr>
            <w:tcW w:type="dxa" w:w="2880"/>
          </w:tcPr>
          <w:p>
            <w:r>
              <w:rPr>
                <w:sz w:val="20"/>
              </w:rPr>
            </w:r>
            <w:r>
              <w:rPr>
                <w:sz w:val="20"/>
              </w:rPr>
              <w:t>Substitute for the other?</w:t>
            </w:r>
          </w:p>
        </w:tc>
        <w:tc>
          <w:tcPr>
            <w:tcW w:type="dxa" w:w="2880"/>
          </w:tcPr>
          <w:p>
            <w:r>
              <w:rPr>
                <w:sz w:val="20"/>
              </w:rPr>
            </w:r>
            <w:r>
              <w:rPr>
                <w:b/>
                <w:sz w:val="20"/>
              </w:rPr>
              <w:t>No</w:t>
            </w:r>
            <w:r>
              <w:rPr>
                <w:sz w:val="20"/>
              </w:rPr>
              <w:t xml:space="preserve"> — PSI does not satisfy a statutory-inspection obligation</w:t>
            </w:r>
          </w:p>
        </w:tc>
        <w:tc>
          <w:tcPr>
            <w:tcW w:type="dxa" w:w="2880"/>
          </w:tcPr>
          <w:p>
            <w:r>
              <w:rPr>
                <w:sz w:val="20"/>
              </w:rPr>
            </w:r>
            <w:r>
              <w:rPr>
                <w:b/>
                <w:sz w:val="20"/>
              </w:rPr>
              <w:t>No</w:t>
            </w:r>
            <w:r>
              <w:rPr>
                <w:sz w:val="20"/>
              </w:rPr>
              <w:t xml:space="preserve"> — a clean PSI is not statutory clearance</w:t>
            </w:r>
          </w:p>
        </w:tc>
      </w:tr>
    </w:tbl>
    <w:p>
      <w:r>
        <w:t>A buyer-nominated PSI (SGS/BV-type quantity/quality check) never replaces a Chinese statutory-inspection obligation where one applies; conversely a statutory clearance does not fulfil a contractually required PSI.</w:t>
      </w:r>
    </w:p>
    <w:p>
      <w:pPr>
        <w:pStyle w:val="Heading1"/>
      </w:pPr>
      <w:r>
        <w:t>Recommended Order of Operations</w:t>
      </w:r>
    </w:p>
    <w:p>
      <w:pPr>
        <w:pStyle w:val="ListNumber"/>
      </w:pPr>
      <w:r>
        <w:t>Classify the vehicle (HS-first, per the classification guide) — supervision conditions attach to the code.</w:t>
      </w:r>
    </w:p>
    <w:p>
      <w:pPr>
        <w:pStyle w:val="ListNumber"/>
      </w:pPr>
      <w:r>
        <w:t xml:space="preserve">Check the </w:t>
      </w:r>
      <w:r>
        <w:rPr>
          <w:b/>
        </w:rPr>
        <w:t>current</w:t>
      </w:r>
      <w:r>
        <w:t xml:space="preserve"> statutory-inspection catalogue for that code; record the result and the catalogue edition.</w:t>
      </w:r>
    </w:p>
    <w:p>
      <w:pPr>
        <w:pStyle w:val="ListNumber"/>
      </w:pPr>
      <w:r>
        <w:t>If listed, arrange inspection at the place of production (or the designated location) before declaration.</w:t>
      </w:r>
    </w:p>
    <w:p>
      <w:pPr>
        <w:pStyle w:val="ListNumber"/>
      </w:pPr>
      <w:r>
        <w:t>Assemble accompanying documents; confirm the declaring entity and its stamp/signature responsibility.</w:t>
      </w:r>
    </w:p>
    <w:p>
      <w:pPr>
        <w:pStyle w:val="ListNumber"/>
      </w:pPr>
      <w:r>
        <w:t>Run any buyer PSI on its own track; do not let either substitute for the other.</w:t>
      </w:r>
    </w:p>
    <w:p>
      <w:pPr>
        <w:pStyle w:val="Heading1"/>
      </w:pPr>
      <w:r>
        <w:t>Boundaries of This Page</w:t>
      </w:r>
    </w:p>
    <w:p>
      <w:pPr>
        <w:pStyle w:val="ListBullet"/>
      </w:pPr>
      <w:r>
        <w:t xml:space="preserve">The precise current catalogue entry and supervision condition for complete vehicles is </w:t>
      </w:r>
      <w:r>
        <w:rPr>
          <w:b/>
        </w:rPr>
        <w:t>time-sensitive</w:t>
      </w:r>
      <w:r>
        <w:t xml:space="preserve"> — verify against the live GACC catalogue rather than this page.</w:t>
      </w:r>
    </w:p>
    <w:p>
      <w:pPr>
        <w:pStyle w:val="ListBullet"/>
      </w:pPr>
      <w:r>
        <w:t>Third-party commercial PSI is never described here as Chinese statutory inspection.</w:t>
      </w:r>
    </w:p>
    <w:p>
      <w:pPr>
        <w:pStyle w:val="Heading1"/>
      </w:pPr>
      <w:r>
        <w:t>Frequently Asked Questions</w:t>
      </w:r>
    </w:p>
    <w:p>
      <w:r>
        <w:rPr>
          <w:b/>
        </w:rPr>
        <w:t>Is third-party PSI enough to clear Chinese export inspection?</w:t>
      </w:r>
      <w:r>
        <w:t xml:space="preserve"> No. If the commodity is on the statutory-inspection catalogue, the GACC process is still required regardless of a buyer's PSI. </w:t>
      </w:r>
      <w:r>
        <w:rPr>
          <w:b/>
        </w:rPr>
        <w:t>Where does statutory inspection happen?</w:t>
      </w:r>
      <w:r>
        <w:t xml:space="preserve"> In principle at the place of production, unless customs designates another location. </w:t>
      </w:r>
      <w:r>
        <w:rPr>
          <w:b/>
        </w:rPr>
        <w:t>Who is responsible for the declaration?</w:t>
      </w:r>
      <w:r>
        <w:t xml:space="preserve"> The consignor/consignee when declaring in its own name, with signature/stamp liability under GACC Order 277. </w:t>
      </w:r>
      <w:r>
        <w:rPr>
          <w:b/>
        </w:rPr>
        <w:t>How do I know if a vehicle is in the catalogue today?</w:t>
      </w:r>
      <w:r>
        <w:t xml:space="preserve"> Check the current GACC statutory-inspection catalogue for the exact HS code; catalogue scope is updated by notice.</w:t>
      </w:r>
    </w:p>
    <w:p>
      <w:pPr>
        <w:pStyle w:val="Heading1"/>
      </w:pPr>
      <w:r>
        <w:t>Sources &amp; Verification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fill="EAF0F6"/>
          </w:tcPr>
          <w:p>
            <w:r>
              <w:rPr>
                <w:b/>
                <w:sz w:val="20"/>
              </w:rPr>
            </w:r>
            <w:r>
              <w:rPr>
                <w:b/>
                <w:sz w:val="20"/>
              </w:rPr>
              <w:t>Source title</w:t>
            </w:r>
          </w:p>
        </w:tc>
        <w:tc>
          <w:tcPr>
            <w:tcW w:type="dxa" w:w="1234"/>
            <w:shd w:val="clear" w:fill="EAF0F6"/>
          </w:tcPr>
          <w:p>
            <w:r>
              <w:rPr>
                <w:b/>
                <w:sz w:val="20"/>
              </w:rPr>
            </w:r>
            <w:r>
              <w:rPr>
                <w:b/>
                <w:sz w:val="20"/>
              </w:rPr>
              <w:t>Organization</w:t>
            </w:r>
          </w:p>
        </w:tc>
        <w:tc>
          <w:tcPr>
            <w:tcW w:type="dxa" w:w="1234"/>
            <w:shd w:val="clear" w:fill="EAF0F6"/>
          </w:tcPr>
          <w:p>
            <w:r>
              <w:rPr>
                <w:b/>
                <w:sz w:val="20"/>
              </w:rPr>
            </w:r>
            <w:r>
              <w:rPr>
                <w:b/>
                <w:sz w:val="20"/>
              </w:rPr>
              <w:t>Market</w:t>
            </w:r>
          </w:p>
        </w:tc>
        <w:tc>
          <w:tcPr>
            <w:tcW w:type="dxa" w:w="1234"/>
            <w:shd w:val="clear" w:fill="EAF0F6"/>
          </w:tcPr>
          <w:p>
            <w:r>
              <w:rPr>
                <w:b/>
                <w:sz w:val="20"/>
              </w:rPr>
            </w:r>
            <w:r>
              <w:rPr>
                <w:b/>
                <w:sz w:val="20"/>
              </w:rPr>
              <w:t>URL</w:t>
            </w:r>
          </w:p>
        </w:tc>
        <w:tc>
          <w:tcPr>
            <w:tcW w:type="dxa" w:w="1234"/>
            <w:shd w:val="clear" w:fill="EAF0F6"/>
          </w:tcPr>
          <w:p>
            <w:r>
              <w:rPr>
                <w:b/>
                <w:sz w:val="20"/>
              </w:rPr>
            </w:r>
            <w:r>
              <w:rPr>
                <w:b/>
                <w:sz w:val="20"/>
              </w:rPr>
              <w:t>Checked</w:t>
            </w:r>
          </w:p>
        </w:tc>
        <w:tc>
          <w:tcPr>
            <w:tcW w:type="dxa" w:w="1234"/>
            <w:shd w:val="clear" w:fill="EAF0F6"/>
          </w:tcPr>
          <w:p>
            <w:r>
              <w:rPr>
                <w:b/>
                <w:sz w:val="20"/>
              </w:rPr>
            </w:r>
            <w:r>
              <w:rPr>
                <w:b/>
                <w:sz w:val="20"/>
              </w:rPr>
              <w:t>Confidence</w:t>
            </w:r>
          </w:p>
        </w:tc>
        <w:tc>
          <w:tcPr>
            <w:tcW w:type="dxa" w:w="1234"/>
            <w:shd w:val="clear" w:fill="EAF0F6"/>
          </w:tcPr>
          <w:p>
            <w:r>
              <w:rPr>
                <w:b/>
                <w:sz w:val="20"/>
              </w:rPr>
            </w:r>
            <w:r>
              <w:rPr>
                <w:b/>
                <w:sz w:val="20"/>
              </w:rPr>
              <w:t>Supported facts</w:t>
            </w:r>
          </w:p>
        </w:tc>
      </w:tr>
      <w:tr>
        <w:tc>
          <w:tcPr>
            <w:tcW w:type="dxa" w:w="1234"/>
          </w:tcPr>
          <w:p>
            <w:r>
              <w:rPr>
                <w:sz w:val="20"/>
              </w:rPr>
            </w:r>
            <w:r>
              <w:rPr>
                <w:sz w:val="20"/>
              </w:rPr>
              <w:t>GACC Order No.277, Provisions on Declaration of Import/Export Goods</w:t>
            </w:r>
          </w:p>
        </w:tc>
        <w:tc>
          <w:tcPr>
            <w:tcW w:type="dxa" w:w="1234"/>
          </w:tcPr>
          <w:p>
            <w:r>
              <w:rPr>
                <w:sz w:val="20"/>
              </w:rPr>
            </w:r>
            <w:r>
              <w:rPr>
                <w:sz w:val="20"/>
              </w:rPr>
              <w:t>State Council Gazette / gov.cn</w:t>
            </w:r>
          </w:p>
        </w:tc>
        <w:tc>
          <w:tcPr>
            <w:tcW w:type="dxa" w:w="1234"/>
          </w:tcPr>
          <w:p>
            <w:r>
              <w:rPr>
                <w:sz w:val="20"/>
              </w:rPr>
            </w:r>
            <w:r>
              <w:rPr>
                <w:sz w:val="20"/>
              </w:rPr>
              <w:t>CN</w:t>
            </w:r>
          </w:p>
        </w:tc>
        <w:tc>
          <w:tcPr>
            <w:tcW w:type="dxa" w:w="1234"/>
          </w:tcPr>
          <w:p>
            <w:r>
              <w:rPr>
                <w:sz w:val="20"/>
              </w:rPr>
            </w:r>
            <w:r>
              <w:rPr>
                <w:sz w:val="20"/>
              </w:rPr>
              <w:t>https://www.gov.cn/gongbao/2025/issue_12026/202505/content_7022577.html</w:t>
            </w:r>
          </w:p>
        </w:tc>
        <w:tc>
          <w:tcPr>
            <w:tcW w:type="dxa" w:w="1234"/>
          </w:tcPr>
          <w:p>
            <w:r>
              <w:rPr>
                <w:sz w:val="20"/>
              </w:rPr>
            </w:r>
            <w:r>
              <w:rPr>
                <w:sz w:val="20"/>
              </w:rPr>
              <w:t>2026-09-04</w:t>
            </w:r>
          </w:p>
        </w:tc>
        <w:tc>
          <w:tcPr>
            <w:tcW w:type="dxa" w:w="1234"/>
          </w:tcPr>
          <w:p>
            <w:r>
              <w:rPr>
                <w:sz w:val="20"/>
              </w:rPr>
            </w:r>
            <w:r>
              <w:rPr>
                <w:sz w:val="20"/>
              </w:rPr>
              <w:t>VERIFIED</w:t>
            </w:r>
          </w:p>
        </w:tc>
        <w:tc>
          <w:tcPr>
            <w:tcW w:type="dxa" w:w="1234"/>
          </w:tcPr>
          <w:p>
            <w:r>
              <w:rPr>
                <w:sz w:val="20"/>
              </w:rPr>
            </w:r>
            <w:r>
              <w:rPr>
                <w:sz w:val="20"/>
              </w:rPr>
              <w:t>Accompanying docs, signature liability</w:t>
            </w:r>
          </w:p>
        </w:tc>
      </w:tr>
      <w:tr>
        <w:tc>
          <w:tcPr>
            <w:tcW w:type="dxa" w:w="1234"/>
          </w:tcPr>
          <w:p>
            <w:r>
              <w:rPr>
                <w:sz w:val="20"/>
              </w:rPr>
            </w:r>
            <w:r>
              <w:rPr>
                <w:sz w:val="20"/>
              </w:rPr>
              <w:t>Import/Export Commodity Inspection Law implementing regs (2019), export section</w:t>
            </w:r>
          </w:p>
        </w:tc>
        <w:tc>
          <w:tcPr>
            <w:tcW w:type="dxa" w:w="1234"/>
          </w:tcPr>
          <w:p>
            <w:r>
              <w:rPr>
                <w:sz w:val="20"/>
              </w:rPr>
            </w:r>
            <w:r>
              <w:rPr>
                <w:sz w:val="20"/>
              </w:rPr>
              <w:t>Baike (full-text repost)</w:t>
            </w:r>
          </w:p>
        </w:tc>
        <w:tc>
          <w:tcPr>
            <w:tcW w:type="dxa" w:w="1234"/>
          </w:tcPr>
          <w:p>
            <w:r>
              <w:rPr>
                <w:sz w:val="20"/>
              </w:rPr>
            </w:r>
            <w:r>
              <w:rPr>
                <w:sz w:val="20"/>
              </w:rPr>
              <w:t>CN</w:t>
            </w:r>
          </w:p>
        </w:tc>
        <w:tc>
          <w:tcPr>
            <w:tcW w:type="dxa" w:w="1234"/>
          </w:tcPr>
          <w:p>
            <w:r>
              <w:rPr>
                <w:sz w:val="20"/>
              </w:rPr>
            </w:r>
            <w:r>
              <w:rPr>
                <w:sz w:val="20"/>
              </w:rPr>
              <w:t>https://m.baike.com/wiki/%E4%B8%AD%E5%8D%8E%E4%BA%BA%E6%B0%91%E5%85%B1%E5%92%8C%E5%9B%BD%E8%BF%9B%E5%87%BA%E5%8F%A3%E5%95%86%E5%93%81%E6%A3%80%E9%AA%8C%E6%B3%95%E5%AE%9E%E6%96%BD%E6%9D%A1%E4%BE%8B(2019%E4%BF%AE%E8%AE%A2)/23430149</w:t>
            </w:r>
          </w:p>
        </w:tc>
        <w:tc>
          <w:tcPr>
            <w:tcW w:type="dxa" w:w="1234"/>
          </w:tcPr>
          <w:p>
            <w:r>
              <w:rPr>
                <w:sz w:val="20"/>
              </w:rPr>
            </w:r>
            <w:r>
              <w:rPr>
                <w:sz w:val="20"/>
              </w:rPr>
              <w:t>2026-09-04</w:t>
            </w:r>
          </w:p>
        </w:tc>
        <w:tc>
          <w:tcPr>
            <w:tcW w:type="dxa" w:w="1234"/>
          </w:tcPr>
          <w:p>
            <w:r>
              <w:rPr>
                <w:sz w:val="20"/>
              </w:rPr>
            </w:r>
            <w:r>
              <w:rPr>
                <w:sz w:val="20"/>
              </w:rPr>
              <w:t>SINGLE_SOURCE</w:t>
            </w:r>
          </w:p>
        </w:tc>
        <w:tc>
          <w:tcPr>
            <w:tcW w:type="dxa" w:w="1234"/>
          </w:tcPr>
          <w:p>
            <w:r>
              <w:rPr>
                <w:sz w:val="20"/>
              </w:rPr>
            </w:r>
            <w:r>
              <w:rPr>
                <w:sz w:val="20"/>
              </w:rPr>
              <w:t>Legal frame, place-of-production rule</w:t>
            </w:r>
          </w:p>
        </w:tc>
      </w:tr>
      <w:tr>
        <w:tc>
          <w:tcPr>
            <w:tcW w:type="dxa" w:w="1234"/>
          </w:tcPr>
          <w:p>
            <w:r>
              <w:rPr>
                <w:sz w:val="20"/>
              </w:rPr>
            </w:r>
            <w:r>
              <w:rPr>
                <w:sz w:val="20"/>
              </w:rPr>
              <w:t>GACC Notice 2025 No.138 (pre-declaration inspection application)</w:t>
            </w:r>
          </w:p>
        </w:tc>
        <w:tc>
          <w:tcPr>
            <w:tcW w:type="dxa" w:w="1234"/>
          </w:tcPr>
          <w:p>
            <w:r>
              <w:rPr>
                <w:sz w:val="20"/>
              </w:rPr>
            </w:r>
            <w:r>
              <w:rPr>
                <w:sz w:val="20"/>
              </w:rPr>
              <w:t>Customs release (repost)</w:t>
            </w:r>
          </w:p>
        </w:tc>
        <w:tc>
          <w:tcPr>
            <w:tcW w:type="dxa" w:w="1234"/>
          </w:tcPr>
          <w:p>
            <w:r>
              <w:rPr>
                <w:sz w:val="20"/>
              </w:rPr>
            </w:r>
            <w:r>
              <w:rPr>
                <w:sz w:val="20"/>
              </w:rPr>
              <w:t>CN</w:t>
            </w:r>
          </w:p>
        </w:tc>
        <w:tc>
          <w:tcPr>
            <w:tcW w:type="dxa" w:w="1234"/>
          </w:tcPr>
          <w:p>
            <w:r>
              <w:rPr>
                <w:sz w:val="20"/>
              </w:rPr>
            </w:r>
            <w:r>
              <w:rPr>
                <w:sz w:val="20"/>
              </w:rPr>
              <w:t>http://m.toutiao.com/group/7520602188638159398/</w:t>
            </w:r>
          </w:p>
        </w:tc>
        <w:tc>
          <w:tcPr>
            <w:tcW w:type="dxa" w:w="1234"/>
          </w:tcPr>
          <w:p>
            <w:r>
              <w:rPr>
                <w:sz w:val="20"/>
              </w:rPr>
            </w:r>
            <w:r>
              <w:rPr>
                <w:sz w:val="20"/>
              </w:rPr>
              <w:t>2026-09-04</w:t>
            </w:r>
          </w:p>
        </w:tc>
        <w:tc>
          <w:tcPr>
            <w:tcW w:type="dxa" w:w="1234"/>
          </w:tcPr>
          <w:p>
            <w:r>
              <w:rPr>
                <w:sz w:val="20"/>
              </w:rPr>
            </w:r>
            <w:r>
              <w:rPr>
                <w:sz w:val="20"/>
              </w:rPr>
              <w:t>SINGLE_SOURCE</w:t>
            </w:r>
          </w:p>
        </w:tc>
        <w:tc>
          <w:tcPr>
            <w:tcW w:type="dxa" w:w="1234"/>
          </w:tcPr>
          <w:p>
            <w:r>
              <w:rPr>
                <w:sz w:val="20"/>
              </w:rPr>
            </w:r>
            <w:r>
              <w:rPr>
                <w:sz w:val="20"/>
              </w:rPr>
              <w:t>Process optimization (time-sensitive)</w:t>
            </w:r>
          </w:p>
        </w:tc>
      </w:tr>
    </w:tbl>
    <w:p>
      <w:r>
        <w:rPr>
          <w:i/>
        </w:rPr>
        <w:t>Scope note: China export side only; current catalogue entry for complete vehicles must be checked live and is not asserted here.</w:t>
      </w:r>
    </w:p>
    <w:p>
      <w:pPr>
        <w:pStyle w:val="Heading1"/>
      </w:pPr>
      <w:r>
        <w:t>Editorial Review</w:t>
      </w:r>
    </w:p>
    <w:p>
      <w:pPr>
        <w:pStyle w:val="ListBullet"/>
      </w:pPr>
      <w:r>
        <w:rPr>
          <w:b/>
        </w:rPr>
        <w:t>Author / reviewer</w:t>
      </w:r>
      <w:r>
        <w:t>: [AutoBridge Export Sourcing Team](/authors/) · method per our [Editorial Policy](/editorial-policy/)</w:t>
      </w:r>
    </w:p>
    <w:p>
      <w:pPr>
        <w:pStyle w:val="ListBullet"/>
      </w:pPr>
      <w:r>
        <w:rPr>
          <w:b/>
        </w:rPr>
        <w:t>Last reviewed</w:t>
      </w:r>
      <w:r>
        <w:t>: 2026-09-04</w:t>
      </w:r>
    </w:p>
    <w:p>
      <w:pPr>
        <w:pStyle w:val="ListBullet"/>
      </w:pPr>
      <w:r>
        <w:rPr>
          <w:b/>
        </w:rPr>
        <w:t>Reference market</w:t>
      </w:r>
      <w:r>
        <w:t>: China export-side inspection/declaration (destination import inspection excluded)</w:t>
      </w:r>
    </w:p>
    <w:p>
      <w:pPr>
        <w:pStyle w:val="ListBullet"/>
      </w:pPr>
      <w:r>
        <w:rPr>
          <w:b/>
        </w:rPr>
        <w:t>Verification method</w:t>
      </w:r>
      <w:r>
        <w:t>: Official declaration order anchored; statutory vs PSI separated; catalogue scope left to live verification</w:t>
      </w:r>
    </w:p>
    <w:p>
      <w:pPr>
        <w:pStyle w:val="ListBullet"/>
      </w:pPr>
      <w:r>
        <w:rPr>
          <w:b/>
        </w:rPr>
        <w:t>Quality gates</w:t>
      </w:r>
      <w:r>
        <w:t>: EDITORIAL_QA_PASS=PASS · FACT_SOURCE_PASS=PASS · SEO_PASS=PASS · CODEX_REVIEW_PASS=PENDING · PUBLISH_APPROVED=FALSE until independent sign-off</w:t>
      </w:r>
    </w:p>
    <w:p>
      <w:r>
        <w:rPr>
          <w:b/>
        </w:rPr>
        <w:t>Tags</w:t>
      </w:r>
      <w:r>
        <w:t>: #StatutoryInspection #ChinaExport #CustomsDeclaration #GACC #ExportCompliance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3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3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37"/>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