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MBL, HBL, Telex Release or Sea Waybill? Choosing the Release Method for a Vehicle Shipment</w:t>
      </w:r>
    </w:p>
    <w:p>
      <w:pPr>
        <w:pStyle w:val="Heading1"/>
      </w:pPr>
      <w:r>
        <w:t>SEO Metadata</w:t>
      </w:r>
    </w:p>
    <w:p>
      <w:pPr>
        <w:pStyle w:val="ListBullet"/>
      </w:pPr>
      <w:r>
        <w:rPr>
          <w:b/>
        </w:rPr>
        <w:t>SEO Title</w:t>
      </w:r>
      <w:r>
        <w:t>: Vehicle Export Bill of Lading Guide — MBL vs HBL vs Telex vs SWB</w:t>
      </w:r>
    </w:p>
    <w:p>
      <w:pPr>
        <w:pStyle w:val="ListBullet"/>
      </w:pPr>
      <w:r>
        <w:rPr>
          <w:b/>
        </w:rPr>
        <w:t>Meta Description</w:t>
      </w:r>
      <w:r>
        <w:t>: How master bills, house bills, telex release and sea waybills differ, when each release method costs the shipper control of cargo, and how to match the B/L to payment terms for RoRo/container vehicle shipments.</w:t>
      </w:r>
    </w:p>
    <w:p>
      <w:pPr>
        <w:pStyle w:val="ListBullet"/>
      </w:pPr>
      <w:r>
        <w:rPr>
          <w:b/>
        </w:rPr>
        <w:t>Suggested URL</w:t>
      </w:r>
      <w:r>
        <w:t>: /guides/vehicle-export-bill-of-lading-types</w:t>
      </w:r>
    </w:p>
    <w:p>
      <w:pPr>
        <w:pStyle w:val="ListBullet"/>
      </w:pPr>
      <w:r>
        <w:rPr>
          <w:b/>
        </w:rPr>
        <w:t>H1</w:t>
      </w:r>
      <w:r>
        <w:t>: Picking a Bill-of-Lading Release Method for an Exported Vehicle — and Where Cargo Control Is Lost</w:t>
      </w:r>
    </w:p>
    <w:p>
      <w:pPr>
        <w:pStyle w:val="ListBullet"/>
      </w:pPr>
      <w:r>
        <w:rPr>
          <w:b/>
        </w:rPr>
        <w:t>Primary Keyword</w:t>
      </w:r>
      <w:r>
        <w:t>: vehicle export bill of lading mbl hbl telex release seawaybill</w:t>
      </w:r>
    </w:p>
    <w:p>
      <w:pPr>
        <w:pStyle w:val="ListBullet"/>
      </w:pPr>
      <w:r>
        <w:rPr>
          <w:b/>
        </w:rPr>
        <w:t>Secondary Search Terms</w:t>
      </w:r>
      <w:r>
        <w:t>: master bill vs house bill, telex release risk, sea waybill non-negotiable, NVOCC HBL, RoRo bill of lading, T/T L/C release method</w:t>
      </w:r>
    </w:p>
    <w:p>
      <w:pPr>
        <w:pStyle w:val="ListBullet"/>
      </w:pPr>
      <w:r>
        <w:rPr>
          <w:b/>
        </w:rPr>
        <w:t>Internal Link Suggestions</w:t>
      </w:r>
      <w:r>
        <w:t>: /guides/vehicle-export-shipping-charge-structure/ ; /guides/vehicle-export-pdi-protection/ ; /guides/export-vehicle-document-package/</w:t>
      </w:r>
    </w:p>
    <w:p>
      <w:pPr>
        <w:pStyle w:val="ListBullet"/>
      </w:pPr>
      <w:r>
        <w:rPr>
          <w:b/>
        </w:rPr>
        <w:t>Image Suggestions</w:t>
      </w:r>
      <w:r>
        <w:t>: four release-method comparison table; cargo-control timeline vs payment; MBL/HBL chain diagram</w:t>
      </w:r>
    </w:p>
    <w:p>
      <w:pPr>
        <w:pStyle w:val="ListBullet"/>
      </w:pPr>
      <w:r>
        <w:rPr>
          <w:b/>
        </w:rPr>
        <w:t>ALT Suggestions</w:t>
      </w:r>
      <w:r>
        <w:t>: "MBL HBL telex release sea waybill cargo control comparison"</w:t>
      </w:r>
    </w:p>
    <w:p>
      <w:pPr>
        <w:pStyle w:val="Heading1"/>
      </w:pPr>
      <w:r>
        <w:t>The Procurement Problem Is Cargo Control, Not Paperwork</w:t>
      </w:r>
    </w:p>
    <w:p>
      <w:r>
        <w:t xml:space="preserve">Exporters treat the bill-of-lading choice as a documentation detail. It is really a </w:t>
      </w:r>
      <w:r>
        <w:rPr>
          <w:b/>
        </w:rPr>
        <w:t>payment-risk decision</w:t>
      </w:r>
      <w:r>
        <w:t xml:space="preserve">: the moment you switch from an original negotiable B/L to telex release or a sea waybill, you change when (and whether) you still control the vehicle at the destination. This guide compares the four release methods used in vehicle RoRo and container shipping and matches them to payment terms. It reflects </w:t>
      </w:r>
      <w:r>
        <w:rPr>
          <w:b/>
        </w:rPr>
        <w:t>consistent industry practice across multiple freight sources</w:t>
      </w:r>
      <w:r>
        <w:t xml:space="preserve">; it does </w:t>
      </w:r>
      <w:r>
        <w:rPr>
          <w:b/>
        </w:rPr>
        <w:t>not</w:t>
      </w:r>
      <w:r>
        <w:t xml:space="preserve"> quote statutory maritime-code provisions (the primary text was not captured for this batch), and carrier/port-specific telex rules and fees must be confirmed voyage by voyage.</w:t>
      </w:r>
    </w:p>
    <w:p>
      <w:pPr>
        <w:pStyle w:val="Heading1"/>
      </w:pPr>
      <w:r>
        <w:t>The Four Instruments Side by Side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AF0F6"/>
          </w:tcPr>
          <w:p>
            <w:r>
              <w:rPr>
                <w:b/>
                <w:sz w:val="20"/>
              </w:rPr>
            </w:r>
            <w:r>
              <w:rPr>
                <w:b/>
                <w:sz w:val="20"/>
              </w:rPr>
              <w:t>Method</w:t>
            </w:r>
          </w:p>
        </w:tc>
        <w:tc>
          <w:tcPr>
            <w:tcW w:type="dxa" w:w="2160"/>
            <w:shd w:val="clear" w:fill="EAF0F6"/>
          </w:tcPr>
          <w:p>
            <w:r>
              <w:rPr>
                <w:b/>
                <w:sz w:val="20"/>
              </w:rPr>
            </w:r>
            <w:r>
              <w:rPr>
                <w:b/>
                <w:sz w:val="20"/>
              </w:rPr>
              <w:t>Who issues</w:t>
            </w:r>
          </w:p>
        </w:tc>
        <w:tc>
          <w:tcPr>
            <w:tcW w:type="dxa" w:w="2160"/>
            <w:shd w:val="clear" w:fill="EAF0F6"/>
          </w:tcPr>
          <w:p>
            <w:r>
              <w:rPr>
                <w:b/>
                <w:sz w:val="20"/>
              </w:rPr>
            </w:r>
            <w:r>
              <w:rPr>
                <w:b/>
                <w:sz w:val="20"/>
              </w:rPr>
              <w:t>How the consignee takes delivery</w:t>
            </w:r>
          </w:p>
        </w:tc>
        <w:tc>
          <w:tcPr>
            <w:tcW w:type="dxa" w:w="2160"/>
            <w:shd w:val="clear" w:fill="EAF0F6"/>
          </w:tcPr>
          <w:p>
            <w:r>
              <w:rPr>
                <w:b/>
                <w:sz w:val="20"/>
              </w:rPr>
            </w:r>
            <w:r>
              <w:rPr>
                <w:b/>
                <w:sz w:val="20"/>
              </w:rPr>
              <w:t>Shipper holds a paper document of title?</w:t>
            </w:r>
          </w:p>
        </w:tc>
      </w:tr>
      <w:tr>
        <w:tc>
          <w:tcPr>
            <w:tcW w:type="dxa" w:w="2160"/>
          </w:tcPr>
          <w:p>
            <w:r>
              <w:rPr>
                <w:sz w:val="20"/>
              </w:rPr>
            </w:r>
            <w:r>
              <w:rPr>
                <w:b/>
                <w:sz w:val="20"/>
              </w:rPr>
              <w:t>Master B/L (MBL)</w:t>
            </w:r>
          </w:p>
        </w:tc>
        <w:tc>
          <w:tcPr>
            <w:tcW w:type="dxa" w:w="2160"/>
          </w:tcPr>
          <w:p>
            <w:r>
              <w:rPr>
                <w:sz w:val="20"/>
              </w:rPr>
            </w:r>
            <w:r>
              <w:rPr>
                <w:sz w:val="20"/>
              </w:rPr>
              <w:t>Shipping line / its agent</w:t>
            </w:r>
          </w:p>
        </w:tc>
        <w:tc>
          <w:tcPr>
            <w:tcW w:type="dxa" w:w="2160"/>
          </w:tcPr>
          <w:p>
            <w:r>
              <w:rPr>
                <w:sz w:val="20"/>
              </w:rPr>
            </w:r>
            <w:r>
              <w:rPr>
                <w:sz w:val="20"/>
              </w:rPr>
              <w:t>Consignee surrenders original MBL (or follows line procedure)</w:t>
            </w:r>
          </w:p>
        </w:tc>
        <w:tc>
          <w:tcPr>
            <w:tcW w:type="dxa" w:w="2160"/>
          </w:tcPr>
          <w:p>
            <w:r>
              <w:rPr>
                <w:sz w:val="20"/>
              </w:rPr>
            </w:r>
            <w:r>
              <w:rPr>
                <w:sz w:val="20"/>
              </w:rPr>
              <w:t>Yes — carries contract-of-carriage and document-of-title function</w:t>
            </w:r>
          </w:p>
        </w:tc>
      </w:tr>
      <w:tr>
        <w:tc>
          <w:tcPr>
            <w:tcW w:type="dxa" w:w="2160"/>
          </w:tcPr>
          <w:p>
            <w:r>
              <w:rPr>
                <w:sz w:val="20"/>
              </w:rPr>
            </w:r>
            <w:r>
              <w:rPr>
                <w:b/>
                <w:sz w:val="20"/>
              </w:rPr>
              <w:t>House B/L (HBL)</w:t>
            </w:r>
          </w:p>
        </w:tc>
        <w:tc>
          <w:tcPr>
            <w:tcW w:type="dxa" w:w="2160"/>
          </w:tcPr>
          <w:p>
            <w:r>
              <w:rPr>
                <w:sz w:val="20"/>
              </w:rPr>
            </w:r>
            <w:r>
              <w:rPr>
                <w:sz w:val="20"/>
              </w:rPr>
              <w:t>NVOCC / freight forwarder</w:t>
            </w:r>
          </w:p>
        </w:tc>
        <w:tc>
          <w:tcPr>
            <w:tcW w:type="dxa" w:w="2160"/>
          </w:tcPr>
          <w:p>
            <w:r>
              <w:rPr>
                <w:sz w:val="20"/>
              </w:rPr>
            </w:r>
            <w:r>
              <w:rPr>
                <w:sz w:val="20"/>
              </w:rPr>
              <w:t>HBL consignee exchanges the HBL for the MBL via the forwarder's destination agent</w:t>
            </w:r>
          </w:p>
        </w:tc>
        <w:tc>
          <w:tcPr>
            <w:tcW w:type="dxa" w:w="2160"/>
          </w:tcPr>
          <w:p>
            <w:r>
              <w:rPr>
                <w:sz w:val="20"/>
              </w:rPr>
            </w:r>
            <w:r>
              <w:rPr>
                <w:sz w:val="20"/>
              </w:rPr>
              <w:t>Yes, at HBL level — but an extra party sits in the chain</w:t>
            </w:r>
          </w:p>
        </w:tc>
      </w:tr>
      <w:tr>
        <w:tc>
          <w:tcPr>
            <w:tcW w:type="dxa" w:w="2160"/>
          </w:tcPr>
          <w:p>
            <w:r>
              <w:rPr>
                <w:sz w:val="20"/>
              </w:rPr>
            </w:r>
            <w:r>
              <w:rPr>
                <w:b/>
                <w:sz w:val="20"/>
              </w:rPr>
              <w:t>Telex Release</w:t>
            </w:r>
          </w:p>
        </w:tc>
        <w:tc>
          <w:tcPr>
            <w:tcW w:type="dxa" w:w="2160"/>
          </w:tcPr>
          <w:p>
            <w:r>
              <w:rPr>
                <w:sz w:val="20"/>
              </w:rPr>
            </w:r>
            <w:r>
              <w:rPr>
                <w:sz w:val="20"/>
              </w:rPr>
              <w:t>Carrier, after shipper returns/does not issue originals</w:t>
            </w:r>
          </w:p>
        </w:tc>
        <w:tc>
          <w:tcPr>
            <w:tcW w:type="dxa" w:w="2160"/>
          </w:tcPr>
          <w:p>
            <w:r>
              <w:rPr>
                <w:sz w:val="20"/>
              </w:rPr>
            </w:r>
            <w:r>
              <w:rPr>
                <w:sz w:val="20"/>
              </w:rPr>
              <w:t>Electronic instruction to release; consignee collects on a copy + identity</w:t>
            </w:r>
          </w:p>
        </w:tc>
        <w:tc>
          <w:tcPr>
            <w:tcW w:type="dxa" w:w="2160"/>
          </w:tcPr>
          <w:p>
            <w:r>
              <w:rPr>
                <w:sz w:val="20"/>
              </w:rPr>
            </w:r>
            <w:r>
              <w:rPr>
                <w:b/>
                <w:sz w:val="20"/>
              </w:rPr>
              <w:t>No</w:t>
            </w:r>
            <w:r>
              <w:rPr>
                <w:sz w:val="20"/>
              </w:rPr>
              <w:t xml:space="preserve"> — shipper no longer holds paper title once released</w:t>
            </w:r>
          </w:p>
        </w:tc>
      </w:tr>
      <w:tr>
        <w:tc>
          <w:tcPr>
            <w:tcW w:type="dxa" w:w="2160"/>
          </w:tcPr>
          <w:p>
            <w:r>
              <w:rPr>
                <w:sz w:val="20"/>
              </w:rPr>
            </w:r>
            <w:r>
              <w:rPr>
                <w:b/>
                <w:sz w:val="20"/>
              </w:rPr>
              <w:t>Sea Waybill (SWB)</w:t>
            </w:r>
          </w:p>
        </w:tc>
        <w:tc>
          <w:tcPr>
            <w:tcW w:type="dxa" w:w="2160"/>
          </w:tcPr>
          <w:p>
            <w:r>
              <w:rPr>
                <w:sz w:val="20"/>
              </w:rPr>
            </w:r>
            <w:r>
              <w:rPr>
                <w:sz w:val="20"/>
              </w:rPr>
              <w:t>Carrier</w:t>
            </w:r>
          </w:p>
        </w:tc>
        <w:tc>
          <w:tcPr>
            <w:tcW w:type="dxa" w:w="2160"/>
          </w:tcPr>
          <w:p>
            <w:r>
              <w:rPr>
                <w:sz w:val="20"/>
              </w:rPr>
            </w:r>
            <w:r>
              <w:rPr>
                <w:sz w:val="20"/>
              </w:rPr>
              <w:t>Named consignee collects on proof of identity; non-negotiable</w:t>
            </w:r>
          </w:p>
        </w:tc>
        <w:tc>
          <w:tcPr>
            <w:tcW w:type="dxa" w:w="2160"/>
          </w:tcPr>
          <w:p>
            <w:r>
              <w:rPr>
                <w:sz w:val="20"/>
              </w:rPr>
            </w:r>
            <w:r>
              <w:rPr>
                <w:b/>
                <w:sz w:val="20"/>
              </w:rPr>
              <w:t>No</w:t>
            </w:r>
            <w:r>
              <w:rPr>
                <w:sz w:val="20"/>
              </w:rPr>
              <w:t xml:space="preserve"> — not a document of title, not transferable; no per-shipment telex guarantee needed</w:t>
            </w:r>
          </w:p>
        </w:tc>
      </w:tr>
    </w:tbl>
    <w:p>
      <w:pPr>
        <w:pStyle w:val="Heading1"/>
      </w:pPr>
      <w:r>
        <w:t>Where the Risk Actually Sits</w:t>
      </w:r>
    </w:p>
    <w:p>
      <w:pPr>
        <w:pStyle w:val="ListBullet"/>
      </w:pPr>
      <w:r>
        <w:rPr>
          <w:b/>
        </w:rPr>
        <w:t>Before full payment, telex release and SWB both hand release forward early.</w:t>
      </w:r>
      <w:r>
        <w:t xml:space="preserve"> With no negotiable original in hand, the shipper's leverage over an unpaid buyer is largely gone. Match these methods to </w:t>
      </w:r>
      <w:r>
        <w:rPr>
          <w:b/>
        </w:rPr>
        <w:t>pre-paid T/T</w:t>
      </w:r>
      <w:r>
        <w:t xml:space="preserve"> or a fully secured position, not to open-account or uncertain collection.</w:t>
      </w:r>
    </w:p>
    <w:p>
      <w:pPr>
        <w:pStyle w:val="ListBullet"/>
      </w:pPr>
      <w:r>
        <w:rPr>
          <w:b/>
        </w:rPr>
        <w:t>Order/to-order ("blank") bills generally cannot be telex-released</w:t>
      </w:r>
      <w:r>
        <w:t xml:space="preserve"> — the negotiable structure is what gives the shipper (or bank) control; releasing it electronically defeats that structure.</w:t>
      </w:r>
    </w:p>
    <w:p>
      <w:pPr>
        <w:pStyle w:val="ListBullet"/>
      </w:pPr>
      <w:r>
        <w:rPr>
          <w:b/>
        </w:rPr>
        <w:t>HBL adds a chain dependency</w:t>
      </w:r>
      <w:r>
        <w:t>: your buyer cannot collect until the forwarder's overseas agent has converted HBL to MBL. A weak or unknown overseas agent is an operational and credit risk worth checking before choosing NVOCC paper.</w:t>
      </w:r>
    </w:p>
    <w:p>
      <w:pPr>
        <w:pStyle w:val="ListBullet"/>
      </w:pPr>
      <w:r>
        <w:rPr>
          <w:b/>
        </w:rPr>
        <w:t>Acceptance varies by port and country.</w:t>
      </w:r>
      <w:r>
        <w:t xml:space="preserve"> Some South American destinations are reported not to accept telex release; treat port/country acceptance as something to </w:t>
      </w:r>
      <w:r>
        <w:rPr>
          <w:b/>
        </w:rPr>
        <w:t>confirm with the carrier and destination agent per shipment</w:t>
      </w:r>
      <w:r>
        <w:t>, never assumed.</w:t>
      </w:r>
    </w:p>
    <w:p>
      <w:pPr>
        <w:pStyle w:val="Heading1"/>
      </w:pPr>
      <w:r>
        <w:t>Matching Release Method to Payment Terms</w:t>
      </w:r>
    </w:p>
    <w:p>
      <w:pPr>
        <w:pStyle w:val="ListBullet"/>
      </w:pPr>
      <w:r>
        <w:rPr>
          <w:b/>
        </w:rPr>
        <w:t>T/T in advance / fully pre-paid</w:t>
      </w:r>
      <w:r>
        <w:t>: telex or SWB is workable because cargo-control leverage is no longer needed; originals can be skipped to speed collection.</w:t>
      </w:r>
    </w:p>
    <w:p>
      <w:pPr>
        <w:pStyle w:val="ListBullet"/>
      </w:pPr>
      <w:r>
        <w:rPr>
          <w:b/>
        </w:rPr>
        <w:t>L/C</w:t>
      </w:r>
      <w:r>
        <w:t>: follow the credit's document requirements exactly — an L/C typically demands a negotiable B/L consigned/endorsed as stated; substituting SWB can create a discrepancy.</w:t>
      </w:r>
    </w:p>
    <w:p>
      <w:pPr>
        <w:pStyle w:val="ListBullet"/>
      </w:pPr>
      <w:r>
        <w:rPr>
          <w:b/>
        </w:rPr>
        <w:t>Balance against B/L, or open account</w:t>
      </w:r>
      <w:r>
        <w:t>: keep original negotiable MBL control until payment conditions are met; do not telex-release an unpaid vehicle.</w:t>
      </w:r>
    </w:p>
    <w:p>
      <w:pPr>
        <w:pStyle w:val="ListBullet"/>
      </w:pPr>
      <w:r>
        <w:rPr>
          <w:b/>
        </w:rPr>
        <w:t>RoRo vs container</w:t>
      </w:r>
      <w:r>
        <w:t>: both normally release the vehicle against the ocean B/L; RoRo lines often have fixed release procedures — confirm the line's requirement before choosing the instrument.</w:t>
      </w:r>
    </w:p>
    <w:p>
      <w:pPr>
        <w:pStyle w:val="Heading1"/>
      </w:pPr>
      <w:r>
        <w:t>Questions to Put to the Forwarder Before Booking</w:t>
      </w:r>
    </w:p>
    <w:p>
      <w:pPr>
        <w:pStyle w:val="ListNumber"/>
      </w:pPr>
      <w:r>
        <w:t>Who is the MBL carrier, and (if HBL) who is the NVOCC and its destination agent?</w:t>
      </w:r>
    </w:p>
    <w:p>
      <w:pPr>
        <w:pStyle w:val="ListNumber"/>
      </w:pPr>
      <w:r>
        <w:t>Does the destination port/consignee accept telex release for this country?</w:t>
      </w:r>
    </w:p>
    <w:p>
      <w:pPr>
        <w:pStyle w:val="ListNumber"/>
      </w:pPr>
      <w:r>
        <w:t>What consignee wording is proposed, and is the bill negotiable or straight?</w:t>
      </w:r>
    </w:p>
    <w:p>
      <w:pPr>
        <w:pStyle w:val="ListNumber"/>
      </w:pPr>
      <w:r>
        <w:t>Which release method matches the agreed T/T or L/C timeline?</w:t>
      </w:r>
    </w:p>
    <w:p>
      <w:pPr>
        <w:pStyle w:val="ListNumber"/>
      </w:pPr>
      <w:r>
        <w:t>What are the line's release/switch fees for this voyage (quoted, not assumed)?</w:t>
      </w:r>
    </w:p>
    <w:p>
      <w:pPr>
        <w:pStyle w:val="Heading1"/>
      </w:pPr>
      <w:r>
        <w:t>Boundaries of This Guide</w:t>
      </w:r>
    </w:p>
    <w:p>
      <w:pPr>
        <w:pStyle w:val="ListBullet"/>
      </w:pPr>
      <w:r>
        <w:t xml:space="preserve">Statutory B/L legal nature is </w:t>
      </w:r>
      <w:r>
        <w:rPr>
          <w:b/>
        </w:rPr>
        <w:t>not</w:t>
      </w:r>
      <w:r>
        <w:t xml:space="preserve"> cited here; a formal legal citation requires the primary </w:t>
      </w:r>
      <w:r>
        <w:rPr>
          <w:i/>
        </w:rPr>
        <w:t>Maritime Code</w:t>
      </w:r>
      <w:r>
        <w:t xml:space="preserve"> text (flagged for later sourcing).</w:t>
      </w:r>
    </w:p>
    <w:p>
      <w:pPr>
        <w:pStyle w:val="ListBullet"/>
      </w:pPr>
      <w:r>
        <w:t xml:space="preserve">Carrier-specific telex rules and </w:t>
      </w:r>
      <w:r>
        <w:rPr>
          <w:b/>
        </w:rPr>
        <w:t>fees are time-sensitive and voyage-specific</w:t>
      </w:r>
      <w:r>
        <w:t>; none are stated as fixed numbers.</w:t>
      </w:r>
    </w:p>
    <w:p>
      <w:pPr>
        <w:pStyle w:val="Heading1"/>
      </w:pPr>
      <w:r>
        <w:t>Frequently Asked Questions</w:t>
      </w:r>
    </w:p>
    <w:p>
      <w:r>
        <w:rPr>
          <w:b/>
        </w:rPr>
        <w:t>What is the safest release method before payment?</w:t>
      </w:r>
      <w:r>
        <w:t xml:space="preserve"> Retain an original negotiable bill; avoid telex release or sea waybill until payment is secured, because both release cargo without paper title in hand. </w:t>
      </w:r>
      <w:r>
        <w:rPr>
          <w:b/>
        </w:rPr>
        <w:t>Is a sea waybill the same as telex release?</w:t>
      </w:r>
      <w:r>
        <w:t xml:space="preserve"> Similar effect (consignee collects on identity, no original needed), but an SWB is a standing non-negotiable document and does not require a per-shipment telex guarantee. </w:t>
      </w:r>
      <w:r>
        <w:rPr>
          <w:b/>
        </w:rPr>
        <w:t>Can a to-order bill be telex-released?</w:t>
      </w:r>
      <w:r>
        <w:t xml:space="preserve"> Generally no — order/blank bills rely on negotiability for control. </w:t>
      </w:r>
      <w:r>
        <w:rPr>
          <w:b/>
        </w:rPr>
        <w:t>Does every port accept telex release?</w:t>
      </w:r>
      <w:r>
        <w:t xml:space="preserve"> No; some destinations (reported in parts of South America) do not — confirm with the carrier per shipment.</w:t>
      </w:r>
    </w:p>
    <w:p>
      <w:pPr>
        <w:pStyle w:val="Heading1"/>
      </w:pPr>
      <w:r>
        <w:t>Sources &amp; Verification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AF0F6"/>
          </w:tcPr>
          <w:p>
            <w:r>
              <w:rPr>
                <w:b/>
                <w:sz w:val="20"/>
              </w:rPr>
            </w:r>
            <w:r>
              <w:rPr>
                <w:b/>
                <w:sz w:val="20"/>
              </w:rPr>
              <w:t>Source title</w:t>
            </w:r>
          </w:p>
        </w:tc>
        <w:tc>
          <w:tcPr>
            <w:tcW w:type="dxa" w:w="1234"/>
            <w:shd w:val="clear" w:fill="EAF0F6"/>
          </w:tcPr>
          <w:p>
            <w:r>
              <w:rPr>
                <w:b/>
                <w:sz w:val="20"/>
              </w:rPr>
            </w:r>
            <w:r>
              <w:rPr>
                <w:b/>
                <w:sz w:val="20"/>
              </w:rPr>
              <w:t>Organization</w:t>
            </w:r>
          </w:p>
        </w:tc>
        <w:tc>
          <w:tcPr>
            <w:tcW w:type="dxa" w:w="1234"/>
            <w:shd w:val="clear" w:fill="EAF0F6"/>
          </w:tcPr>
          <w:p>
            <w:r>
              <w:rPr>
                <w:b/>
                <w:sz w:val="20"/>
              </w:rPr>
            </w:r>
            <w:r>
              <w:rPr>
                <w:b/>
                <w:sz w:val="20"/>
              </w:rPr>
              <w:t>Market</w:t>
            </w:r>
          </w:p>
        </w:tc>
        <w:tc>
          <w:tcPr>
            <w:tcW w:type="dxa" w:w="1234"/>
            <w:shd w:val="clear" w:fill="EAF0F6"/>
          </w:tcPr>
          <w:p>
            <w:r>
              <w:rPr>
                <w:b/>
                <w:sz w:val="20"/>
              </w:rPr>
            </w:r>
            <w:r>
              <w:rPr>
                <w:b/>
                <w:sz w:val="20"/>
              </w:rPr>
              <w:t>URL</w:t>
            </w:r>
          </w:p>
        </w:tc>
        <w:tc>
          <w:tcPr>
            <w:tcW w:type="dxa" w:w="1234"/>
            <w:shd w:val="clear" w:fill="EAF0F6"/>
          </w:tcPr>
          <w:p>
            <w:r>
              <w:rPr>
                <w:b/>
                <w:sz w:val="20"/>
              </w:rPr>
            </w:r>
            <w:r>
              <w:rPr>
                <w:b/>
                <w:sz w:val="20"/>
              </w:rPr>
              <w:t>Checked</w:t>
            </w:r>
          </w:p>
        </w:tc>
        <w:tc>
          <w:tcPr>
            <w:tcW w:type="dxa" w:w="1234"/>
            <w:shd w:val="clear" w:fill="EAF0F6"/>
          </w:tcPr>
          <w:p>
            <w:r>
              <w:rPr>
                <w:b/>
                <w:sz w:val="20"/>
              </w:rPr>
            </w:r>
            <w:r>
              <w:rPr>
                <w:b/>
                <w:sz w:val="20"/>
              </w:rPr>
              <w:t>Confidence</w:t>
            </w:r>
          </w:p>
        </w:tc>
        <w:tc>
          <w:tcPr>
            <w:tcW w:type="dxa" w:w="1234"/>
            <w:shd w:val="clear" w:fill="EAF0F6"/>
          </w:tcPr>
          <w:p>
            <w:r>
              <w:rPr>
                <w:b/>
                <w:sz w:val="20"/>
              </w:rPr>
            </w:r>
            <w:r>
              <w:rPr>
                <w:b/>
                <w:sz w:val="20"/>
              </w:rPr>
              <w:t>Supported facts</w:t>
            </w:r>
          </w:p>
        </w:tc>
      </w:tr>
      <w:tr>
        <w:tc>
          <w:tcPr>
            <w:tcW w:type="dxa" w:w="1234"/>
          </w:tcPr>
          <w:p>
            <w:r>
              <w:rPr>
                <w:sz w:val="20"/>
              </w:rPr>
            </w:r>
            <w:r>
              <w:rPr>
                <w:sz w:val="20"/>
              </w:rPr>
              <w:t>Original B/L / telex / Sea Waybill explained</w:t>
            </w:r>
          </w:p>
        </w:tc>
        <w:tc>
          <w:tcPr>
            <w:tcW w:type="dxa" w:w="1234"/>
          </w:tcPr>
          <w:p>
            <w:r>
              <w:rPr>
                <w:sz w:val="20"/>
              </w:rPr>
            </w:r>
            <w:r>
              <w:rPr>
                <w:sz w:val="20"/>
              </w:rPr>
              <w:t>NetEase business wiki</w:t>
            </w:r>
          </w:p>
        </w:tc>
        <w:tc>
          <w:tcPr>
            <w:tcW w:type="dxa" w:w="1234"/>
          </w:tcPr>
          <w:p>
            <w:r>
              <w:rPr>
                <w:sz w:val="20"/>
              </w:rPr>
            </w:r>
            <w:r>
              <w:rPr>
                <w:sz w:val="20"/>
              </w:rPr>
              <w:t>INTL</w:t>
            </w:r>
          </w:p>
        </w:tc>
        <w:tc>
          <w:tcPr>
            <w:tcW w:type="dxa" w:w="1234"/>
          </w:tcPr>
          <w:p>
            <w:r>
              <w:rPr>
                <w:sz w:val="20"/>
              </w:rPr>
            </w:r>
            <w:r>
              <w:rPr>
                <w:sz w:val="20"/>
              </w:rPr>
              <w:t>https://www.163.com/dy/article/L0J4JN3F0556HN78.html</w:t>
            </w:r>
          </w:p>
        </w:tc>
        <w:tc>
          <w:tcPr>
            <w:tcW w:type="dxa" w:w="1234"/>
          </w:tcPr>
          <w:p>
            <w:r>
              <w:rPr>
                <w:sz w:val="20"/>
              </w:rPr>
            </w:r>
            <w:r>
              <w:rPr>
                <w:sz w:val="20"/>
              </w:rPr>
              <w:t>2026-09-04</w:t>
            </w:r>
          </w:p>
        </w:tc>
        <w:tc>
          <w:tcPr>
            <w:tcW w:type="dxa" w:w="1234"/>
          </w:tcPr>
          <w:p>
            <w:r>
              <w:rPr>
                <w:sz w:val="20"/>
              </w:rPr>
            </w:r>
            <w:r>
              <w:rPr>
                <w:sz w:val="20"/>
              </w:rPr>
              <w:t>CROSS_CHECKED</w:t>
            </w:r>
          </w:p>
        </w:tc>
        <w:tc>
          <w:tcPr>
            <w:tcW w:type="dxa" w:w="1234"/>
          </w:tcPr>
          <w:p>
            <w:r>
              <w:rPr>
                <w:sz w:val="20"/>
              </w:rPr>
            </w:r>
            <w:r>
              <w:rPr>
                <w:sz w:val="20"/>
              </w:rPr>
              <w:t>MBL/SWB/telex definitions</w:t>
            </w:r>
          </w:p>
        </w:tc>
      </w:tr>
      <w:tr>
        <w:tc>
          <w:tcPr>
            <w:tcW w:type="dxa" w:w="1234"/>
          </w:tcPr>
          <w:p>
            <w:r>
              <w:rPr>
                <w:sz w:val="20"/>
              </w:rPr>
            </w:r>
            <w:r>
              <w:rPr>
                <w:sz w:val="20"/>
              </w:rPr>
              <w:t>Master bill vs house bill</w:t>
            </w:r>
          </w:p>
        </w:tc>
        <w:tc>
          <w:tcPr>
            <w:tcW w:type="dxa" w:w="1234"/>
          </w:tcPr>
          <w:p>
            <w:r>
              <w:rPr>
                <w:sz w:val="20"/>
              </w:rPr>
            </w:r>
            <w:r>
              <w:rPr>
                <w:sz w:val="20"/>
              </w:rPr>
              <w:t>Sina Finance</w:t>
            </w:r>
          </w:p>
        </w:tc>
        <w:tc>
          <w:tcPr>
            <w:tcW w:type="dxa" w:w="1234"/>
          </w:tcPr>
          <w:p>
            <w:r>
              <w:rPr>
                <w:sz w:val="20"/>
              </w:rPr>
            </w:r>
            <w:r>
              <w:rPr>
                <w:sz w:val="20"/>
              </w:rPr>
              <w:t>INTL</w:t>
            </w:r>
          </w:p>
        </w:tc>
        <w:tc>
          <w:tcPr>
            <w:tcW w:type="dxa" w:w="1234"/>
          </w:tcPr>
          <w:p>
            <w:r>
              <w:rPr>
                <w:sz w:val="20"/>
              </w:rPr>
            </w:r>
            <w:r>
              <w:rPr>
                <w:sz w:val="20"/>
              </w:rPr>
              <w:t>https://finance.sina.com.cn/roll/2026-08-15/doc-ininkrwq1888009.shtml</w:t>
            </w:r>
          </w:p>
        </w:tc>
        <w:tc>
          <w:tcPr>
            <w:tcW w:type="dxa" w:w="1234"/>
          </w:tcPr>
          <w:p>
            <w:r>
              <w:rPr>
                <w:sz w:val="20"/>
              </w:rPr>
            </w:r>
            <w:r>
              <w:rPr>
                <w:sz w:val="20"/>
              </w:rPr>
              <w:t>2026-09-04</w:t>
            </w:r>
          </w:p>
        </w:tc>
        <w:tc>
          <w:tcPr>
            <w:tcW w:type="dxa" w:w="1234"/>
          </w:tcPr>
          <w:p>
            <w:r>
              <w:rPr>
                <w:sz w:val="20"/>
              </w:rPr>
            </w:r>
            <w:r>
              <w:rPr>
                <w:sz w:val="20"/>
              </w:rPr>
              <w:t>CROSS_CHECKED</w:t>
            </w:r>
          </w:p>
        </w:tc>
        <w:tc>
          <w:tcPr>
            <w:tcW w:type="dxa" w:w="1234"/>
          </w:tcPr>
          <w:p>
            <w:r>
              <w:rPr>
                <w:sz w:val="20"/>
              </w:rPr>
            </w:r>
            <w:r>
              <w:rPr>
                <w:sz w:val="20"/>
              </w:rPr>
              <w:t>MBL/HBL chain, vehicle practice</w:t>
            </w:r>
          </w:p>
        </w:tc>
      </w:tr>
      <w:tr>
        <w:tc>
          <w:tcPr>
            <w:tcW w:type="dxa" w:w="1234"/>
          </w:tcPr>
          <w:p>
            <w:r>
              <w:rPr>
                <w:sz w:val="20"/>
              </w:rPr>
            </w:r>
            <w:r>
              <w:rPr>
                <w:sz w:val="20"/>
              </w:rPr>
              <w:t>Release methods and B/L types (MBL/SWB/HBL/telex)</w:t>
            </w:r>
          </w:p>
        </w:tc>
        <w:tc>
          <w:tcPr>
            <w:tcW w:type="dxa" w:w="1234"/>
          </w:tcPr>
          <w:p>
            <w:r>
              <w:rPr>
                <w:sz w:val="20"/>
              </w:rPr>
            </w:r>
            <w:r>
              <w:rPr>
                <w:sz w:val="20"/>
              </w:rPr>
              <w:t>11467 industry knowledge</w:t>
            </w:r>
          </w:p>
        </w:tc>
        <w:tc>
          <w:tcPr>
            <w:tcW w:type="dxa" w:w="1234"/>
          </w:tcPr>
          <w:p>
            <w:r>
              <w:rPr>
                <w:sz w:val="20"/>
              </w:rPr>
            </w:r>
            <w:r>
              <w:rPr>
                <w:sz w:val="20"/>
              </w:rPr>
              <w:t>INTL</w:t>
            </w:r>
          </w:p>
        </w:tc>
        <w:tc>
          <w:tcPr>
            <w:tcW w:type="dxa" w:w="1234"/>
          </w:tcPr>
          <w:p>
            <w:r>
              <w:rPr>
                <w:sz w:val="20"/>
              </w:rPr>
            </w:r>
            <w:r>
              <w:rPr>
                <w:sz w:val="20"/>
              </w:rPr>
              <w:t>https://m.11467.com/product/d15253354.htm</w:t>
            </w:r>
          </w:p>
        </w:tc>
        <w:tc>
          <w:tcPr>
            <w:tcW w:type="dxa" w:w="1234"/>
          </w:tcPr>
          <w:p>
            <w:r>
              <w:rPr>
                <w:sz w:val="20"/>
              </w:rPr>
            </w:r>
            <w:r>
              <w:rPr>
                <w:sz w:val="20"/>
              </w:rPr>
              <w:t>2026-09-04</w:t>
            </w:r>
          </w:p>
        </w:tc>
        <w:tc>
          <w:tcPr>
            <w:tcW w:type="dxa" w:w="1234"/>
          </w:tcPr>
          <w:p>
            <w:r>
              <w:rPr>
                <w:sz w:val="20"/>
              </w:rPr>
            </w:r>
            <w:r>
              <w:rPr>
                <w:sz w:val="20"/>
              </w:rPr>
              <w:t>CROSS_CHECKED</w:t>
            </w:r>
          </w:p>
        </w:tc>
        <w:tc>
          <w:tcPr>
            <w:tcW w:type="dxa" w:w="1234"/>
          </w:tcPr>
          <w:p>
            <w:r>
              <w:rPr>
                <w:sz w:val="20"/>
              </w:rPr>
            </w:r>
            <w:r>
              <w:rPr>
                <w:sz w:val="20"/>
              </w:rPr>
              <w:t>Four-method comparison</w:t>
            </w:r>
          </w:p>
        </w:tc>
      </w:tr>
      <w:tr>
        <w:tc>
          <w:tcPr>
            <w:tcW w:type="dxa" w:w="1234"/>
          </w:tcPr>
          <w:p>
            <w:r>
              <w:rPr>
                <w:sz w:val="20"/>
              </w:rPr>
            </w:r>
            <w:r>
              <w:rPr>
                <w:sz w:val="20"/>
              </w:rPr>
              <w:t>Four release methods and telex risk (South America note)</w:t>
            </w:r>
          </w:p>
        </w:tc>
        <w:tc>
          <w:tcPr>
            <w:tcW w:type="dxa" w:w="1234"/>
          </w:tcPr>
          <w:p>
            <w:r>
              <w:rPr>
                <w:sz w:val="20"/>
              </w:rPr>
            </w:r>
            <w:r>
              <w:rPr>
                <w:sz w:val="20"/>
              </w:rPr>
              <w:t>NetEase</w:t>
            </w:r>
          </w:p>
        </w:tc>
        <w:tc>
          <w:tcPr>
            <w:tcW w:type="dxa" w:w="1234"/>
          </w:tcPr>
          <w:p>
            <w:r>
              <w:rPr>
                <w:sz w:val="20"/>
              </w:rPr>
            </w:r>
            <w:r>
              <w:rPr>
                <w:sz w:val="20"/>
              </w:rPr>
              <w:t>INTL</w:t>
            </w:r>
          </w:p>
        </w:tc>
        <w:tc>
          <w:tcPr>
            <w:tcW w:type="dxa" w:w="1234"/>
          </w:tcPr>
          <w:p>
            <w:r>
              <w:rPr>
                <w:sz w:val="20"/>
              </w:rPr>
            </w:r>
            <w:r>
              <w:rPr>
                <w:sz w:val="20"/>
              </w:rPr>
              <w:t>https://www.163.com/dy/article/K17GLBOG0556820S.html</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Order-bill limit, port acceptance</w:t>
            </w:r>
          </w:p>
        </w:tc>
      </w:tr>
    </w:tbl>
    <w:p>
      <w:r>
        <w:rPr>
          <w:i/>
        </w:rPr>
        <w:t>Confidence note: RESEARCH_CONDITIONAL. Definitions cross-checked across independent freight sources; no statutory primary text captured (legal nature not cited); port acceptance and fees to be confirmed per voyage.</w:t>
      </w:r>
    </w:p>
    <w:p>
      <w:pPr>
        <w:pStyle w:val="Heading1"/>
      </w:pPr>
      <w:r>
        <w:t>Editorial Review</w:t>
      </w:r>
    </w:p>
    <w:p>
      <w:pPr>
        <w:pStyle w:val="ListBullet"/>
      </w:pPr>
      <w:r>
        <w:rPr>
          <w:b/>
        </w:rPr>
        <w:t>Author / reviewer</w:t>
      </w:r>
      <w:r>
        <w:t>: [AutoBridge Export Sourcing Team](/authors/) · method per our [Editorial Policy](/editorial-policy/)</w:t>
      </w:r>
    </w:p>
    <w:p>
      <w:pPr>
        <w:pStyle w:val="ListBullet"/>
      </w:pPr>
      <w:r>
        <w:rPr>
          <w:b/>
        </w:rPr>
        <w:t>Last reviewed</w:t>
      </w:r>
      <w:r>
        <w:t>: 2026-09-04</w:t>
      </w:r>
    </w:p>
    <w:p>
      <w:pPr>
        <w:pStyle w:val="ListBullet"/>
      </w:pPr>
      <w:r>
        <w:rPr>
          <w:b/>
        </w:rPr>
        <w:t>Reference market</w:t>
      </w:r>
      <w:r>
        <w:t>: International ocean freight practice (no single jurisdiction statute cited)</w:t>
      </w:r>
    </w:p>
    <w:p>
      <w:pPr>
        <w:pStyle w:val="ListBullet"/>
      </w:pPr>
      <w:r>
        <w:rPr>
          <w:b/>
        </w:rPr>
        <w:t>Verification method</w:t>
      </w:r>
      <w:r>
        <w:t>: Multi-source cross-check of definitions; statutory and carrier-specific items explicitly bounded</w:t>
      </w:r>
    </w:p>
    <w:p>
      <w:pPr>
        <w:pStyle w:val="ListBullet"/>
      </w:pPr>
      <w:r>
        <w:rPr>
          <w:b/>
        </w:rPr>
        <w:t>Quality gates</w:t>
      </w:r>
      <w:r>
        <w:t>: EDITORIAL_QA_PASS=PASS · FACT_SOURCE_PASS=CONDITIONAL · SEO_PASS=PASS · CODEX_REVIEW_PASS=PENDING · PUBLISH_APPROVED=FALSE until independent sign-off</w:t>
      </w:r>
    </w:p>
    <w:p>
      <w:r>
        <w:rPr>
          <w:b/>
        </w:rPr>
        <w:t>Tags</w:t>
      </w:r>
      <w:r>
        <w:t>: #BillOfLading #TelexRelease #SeaWaybill #ExportRisk #VehicleShipping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