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Pre-Shipment PDI and Protection for Vehicle Export: What to Do at the Yard — Without Inventing Fixed Thresholds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Export PDI &amp; Pre-Shipment Protection Guide (RoRo / Container)</w:t>
      </w:r>
    </w:p>
    <w:p>
      <w:pPr>
        <w:pStyle w:val="ListBullet"/>
      </w:pPr>
      <w:r>
        <w:rPr>
          <w:b/>
        </w:rPr>
        <w:t>Meta Description</w:t>
      </w:r>
      <w:r>
        <w:t>: The pre-shipment inspection and protection steps for exported vehicles — condition records, ICE vs NEV preparation, lashing principles, RoRo drive-on condition and handover documentation that supports a damage claim.</w:t>
      </w:r>
    </w:p>
    <w:p>
      <w:pPr>
        <w:pStyle w:val="ListBullet"/>
      </w:pPr>
      <w:r>
        <w:rPr>
          <w:b/>
        </w:rPr>
        <w:t>Suggested URL</w:t>
      </w:r>
      <w:r>
        <w:t>: /guides/vehicle-export-pdi-protection</w:t>
      </w:r>
    </w:p>
    <w:p>
      <w:pPr>
        <w:pStyle w:val="ListBullet"/>
      </w:pPr>
      <w:r>
        <w:rPr>
          <w:b/>
        </w:rPr>
        <w:t>H1</w:t>
      </w:r>
      <w:r>
        <w:t>: Preparing a Vehicle for Shipment: a PDI and Protection Framework for Exporters</w:t>
      </w:r>
    </w:p>
    <w:p>
      <w:pPr>
        <w:pStyle w:val="ListBullet"/>
      </w:pPr>
      <w:r>
        <w:rPr>
          <w:b/>
        </w:rPr>
        <w:t>Primary Keyword</w:t>
      </w:r>
      <w:r>
        <w:t>: vehicle export pdi pre-shipment protection checklist</w:t>
      </w:r>
    </w:p>
    <w:p>
      <w:pPr>
        <w:pStyle w:val="ListBullet"/>
      </w:pPr>
      <w:r>
        <w:rPr>
          <w:b/>
        </w:rPr>
        <w:t>Secondary Search Terms</w:t>
      </w:r>
      <w:r>
        <w:t>: RoRo vehicle condition, container car lashing, export vehicle battery disconnect, pre-shipment damage record, vehicle handover yard</w:t>
      </w:r>
    </w:p>
    <w:p>
      <w:pPr>
        <w:pStyle w:val="ListBullet"/>
      </w:pPr>
      <w:r>
        <w:rPr>
          <w:b/>
        </w:rPr>
        <w:t>Internal Link Suggestions</w:t>
      </w:r>
      <w:r>
        <w:t>: /guides/ev-battery-shipping-imdg-42-24/ ; /guides/vehicle-export-bill-of-lading-types/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PDI photo record points; four-point lashing schematic; RoRo drive-on condition; ICE vs NEV prep split</w:t>
      </w:r>
    </w:p>
    <w:p>
      <w:pPr>
        <w:pStyle w:val="ListBullet"/>
      </w:pPr>
      <w:r>
        <w:rPr>
          <w:b/>
        </w:rPr>
        <w:t>ALT Suggestions</w:t>
      </w:r>
      <w:r>
        <w:t>: "Vehicle pre-shipment PDI condition record and lashing"</w:t>
      </w:r>
    </w:p>
    <w:p>
      <w:pPr>
        <w:pStyle w:val="Heading1"/>
      </w:pPr>
      <w:r>
        <w:t>Why PDI Exists: It Builds the Evidence a Damage Claim Needs</w:t>
      </w:r>
    </w:p>
    <w:p>
      <w:r>
        <w:t xml:space="preserve">Most post-arrival disputes are not about whether damage happened at sea — they are about whether anyone can prove the car was sound when it left the exporter's control. A disciplined pre-shipment PDI does two jobs at once: it prepares the vehicle for safe carriage, and it creates a time-, mileage- and photo-stamped record that anchors liability. This guide sets out the </w:t>
      </w:r>
      <w:r>
        <w:rPr>
          <w:b/>
        </w:rPr>
        <w:t>work items and documentation principles</w:t>
      </w:r>
      <w:r>
        <w:t xml:space="preserve"> for the loading port. It deliberately </w:t>
      </w:r>
      <w:r>
        <w:rPr>
          <w:b/>
        </w:rPr>
        <w:t>does not publish fixed numeric thresholds</w:t>
      </w:r>
      <w:r>
        <w:t xml:space="preserve"> for residual fuel, lashing breaking-strength, tyre pressure or battery state of charge: the figures circulating in freight SEO articles are not regulations, and the binding values come from the </w:t>
      </w:r>
      <w:r>
        <w:rPr>
          <w:b/>
        </w:rPr>
        <w:t>carrier, terminal and (for NEVs) the IMDG rule set</w:t>
      </w:r>
      <w:r>
        <w:t>, confirmed per voyage.</w:t>
      </w:r>
    </w:p>
    <w:p>
      <w:pPr>
        <w:pStyle w:val="Heading1"/>
      </w:pPr>
      <w:r>
        <w:t>The PDI Record Itself</w:t>
      </w:r>
    </w:p>
    <w:p>
      <w:r>
        <w:t>Before any protective step, document the baseline:</w:t>
      </w:r>
    </w:p>
    <w:p>
      <w:pPr>
        <w:pStyle w:val="ListBullet"/>
      </w:pPr>
      <w:r>
        <w:rPr>
          <w:b/>
        </w:rPr>
        <w:t>Exterior and paint</w:t>
      </w:r>
      <w:r>
        <w:t xml:space="preserve"> inspection, panel by panel, with dated photos (and video walk-around where practical), noting every existing scratch, dent or chip.</w:t>
      </w:r>
    </w:p>
    <w:p>
      <w:pPr>
        <w:pStyle w:val="ListBullet"/>
      </w:pPr>
      <w:r>
        <w:rPr>
          <w:b/>
        </w:rPr>
        <w:t>Function and dashboard</w:t>
      </w:r>
      <w:r>
        <w:t xml:space="preserve"> check — warning lights, locks, windows, wipers, lights, brake function.</w:t>
      </w:r>
    </w:p>
    <w:p>
      <w:pPr>
        <w:pStyle w:val="ListBullet"/>
      </w:pPr>
      <w:r>
        <w:rPr>
          <w:b/>
        </w:rPr>
        <w:t>On-board items</w:t>
      </w:r>
      <w:r>
        <w:t xml:space="preserve"> — keys (all spares), tools, charging cable (NEV), owner documents; list them.</w:t>
      </w:r>
    </w:p>
    <w:p>
      <w:pPr>
        <w:pStyle w:val="ListBullet"/>
      </w:pPr>
      <w:r>
        <w:rPr>
          <w:b/>
        </w:rPr>
        <w:t>Odometer and fuel/SOC reading</w:t>
      </w:r>
      <w:r>
        <w:t xml:space="preserve"> recorded at handover.</w:t>
      </w:r>
    </w:p>
    <w:p>
      <w:r>
        <w:t xml:space="preserve">This record is only useful if it is </w:t>
      </w:r>
      <w:r>
        <w:rPr>
          <w:b/>
        </w:rPr>
        <w:t>timestamped and shared with the party taking custody</w:t>
      </w:r>
      <w:r>
        <w:t xml:space="preserve"> (terminal, forwarder or stevedore).</w:t>
      </w:r>
    </w:p>
    <w:p>
      <w:pPr>
        <w:pStyle w:val="Heading1"/>
      </w:pPr>
      <w:r>
        <w:t>ICE vs NEV Preparation — Different Logic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Aspect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Conventional (ICE) vehicle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New-energy (BEV/PHEV)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12 V battery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On long ocean voyages the </w:t>
            </w:r>
            <w:r>
              <w:rPr>
                <w:b/>
                <w:sz w:val="20"/>
              </w:rPr>
              <w:t>negative terminal is commonly disconnected</w:t>
            </w:r>
            <w:r>
              <w:rPr>
                <w:sz w:val="20"/>
              </w:rPr>
              <w:t xml:space="preserve"> to prevent drain/fire risk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Do </w:t>
            </w:r>
            <w:r>
              <w:rPr>
                <w:b/>
                <w:sz w:val="20"/>
              </w:rPr>
              <w:t>not</w:t>
            </w:r>
            <w:r>
              <w:rPr>
                <w:sz w:val="20"/>
              </w:rPr>
              <w:t xml:space="preserve"> disconnect the high-voltage system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Traction battery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Maintain the </w:t>
            </w:r>
            <w:r>
              <w:rPr>
                <w:b/>
                <w:sz w:val="20"/>
              </w:rPr>
              <w:t>state of charge required by the carrier / IMDG</w:t>
            </w:r>
            <w:r>
              <w:rPr>
                <w:sz w:val="20"/>
              </w:rPr>
              <w:t xml:space="preserve"> — obtain the exact requirement, do not assume a universal percentage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Residual fuel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Keep only enough for yard moves; the </w:t>
            </w:r>
            <w:r>
              <w:rPr>
                <w:b/>
                <w:sz w:val="20"/>
              </w:rPr>
              <w:t>exact level is set by the carrier/terminal</w:t>
            </w:r>
            <w:r>
              <w:rPr>
                <w:sz w:val="20"/>
              </w:rPr>
              <w:t>, not by a fixed rule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Dangerous-goods basis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Fuel tank residual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Battery classification per current IMDG (see the battery-shipping guide)</w:t>
            </w:r>
          </w:p>
        </w:tc>
      </w:tr>
    </w:tbl>
    <w:p>
      <w:r>
        <w:t>The point is direction, not a magic number: ICE cars are de-energised where safe; NEVs keep their high-voltage system in a carrier-defined state.</w:t>
      </w:r>
    </w:p>
    <w:p>
      <w:pPr>
        <w:pStyle w:val="Heading1"/>
      </w:pPr>
      <w:r>
        <w:t>Container Stowage: Lashing Principles</w:t>
      </w:r>
    </w:p>
    <w:p>
      <w:r>
        <w:t xml:space="preserve">For a vehicle loaded into a container, the consistent practice is </w:t>
      </w:r>
      <w:r>
        <w:rPr>
          <w:b/>
        </w:rPr>
        <w:t>multi-point tie-down</w:t>
      </w:r>
      <w:r>
        <w:t xml:space="preserve">, anti-slip material under the tyres, and a defined vehicle orientation relative to the direction of travel. What this guide will </w:t>
      </w:r>
      <w:r>
        <w:rPr>
          <w:b/>
        </w:rPr>
        <w:t>not</w:t>
      </w:r>
      <w:r>
        <w:t xml:space="preserve"> do is print a specific "minimum breaking strength in tonnes" as though it were a legal standard — that value belongs to the carrier's/CTU code's lashing requirement for the actual vehicle weight and lashing angle. Specify lashing to the </w:t>
      </w:r>
      <w:r>
        <w:rPr>
          <w:b/>
        </w:rPr>
        <w:t>operative carrier/terminal rule for that booking</w:t>
      </w:r>
      <w:r>
        <w:t>, and photograph the secured state before the doors are sealed (record the seal number).</w:t>
      </w:r>
    </w:p>
    <w:p>
      <w:pPr>
        <w:pStyle w:val="Heading1"/>
      </w:pPr>
      <w:r>
        <w:t>RoRo: the Drive-On/Drive-Off Condition</w:t>
      </w:r>
    </w:p>
    <w:p>
      <w:r>
        <w:t xml:space="preserve">A RoRo vessel moves vehicles under their own power, so a unit must be able to </w:t>
      </w:r>
      <w:r>
        <w:rPr>
          <w:b/>
        </w:rPr>
        <w:t>safely drive on and off — move, brake and steer</w:t>
      </w:r>
      <w:r>
        <w:t xml:space="preserve">. A non-running, braking-defective or steering-defective vehicle may be refused or attract special handling. At handover, conduct the joint inspection </w:t>
      </w:r>
      <w:r>
        <w:rPr>
          <w:b/>
        </w:rPr>
        <w:t>with the terminal</w:t>
      </w:r>
      <w:r>
        <w:t xml:space="preserve">, note condition on the </w:t>
      </w:r>
      <w:r>
        <w:rPr>
          <w:b/>
        </w:rPr>
        <w:t>handover/receipt document</w:t>
      </w:r>
      <w:r>
        <w:t>, and have both sides sign — an unsigned internal checklist carries little weight against a carrier.</w:t>
      </w:r>
    </w:p>
    <w:p>
      <w:pPr>
        <w:pStyle w:val="Heading1"/>
      </w:pPr>
      <w:r>
        <w:t>Turning the Record Into Claims Evidence</w:t>
      </w:r>
    </w:p>
    <w:p>
      <w:pPr>
        <w:pStyle w:val="ListBullet"/>
      </w:pPr>
      <w:r>
        <w:t>Same reference identifier (VIN/booking) on photos, checklist and handover note.</w:t>
      </w:r>
    </w:p>
    <w:p>
      <w:pPr>
        <w:pStyle w:val="ListBullet"/>
      </w:pPr>
      <w:r>
        <w:t>Time, odometer and fuel/SOC readings captured at both export handover and, where possible, destination receipt.</w:t>
      </w:r>
    </w:p>
    <w:p>
      <w:pPr>
        <w:pStyle w:val="ListBullet"/>
      </w:pPr>
      <w:r>
        <w:t>Any pre-existing damage marked before signing; never sign a "received in good order" note you have not verified.</w:t>
      </w:r>
    </w:p>
    <w:p>
      <w:pPr>
        <w:pStyle w:val="Heading1"/>
      </w:pPr>
      <w:r>
        <w:t>Boundaries of This Guide</w:t>
      </w:r>
    </w:p>
    <w:p>
      <w:pPr>
        <w:pStyle w:val="ListBullet"/>
      </w:pPr>
      <w:r>
        <w:t xml:space="preserve">Residual-fuel percentage, lashing breaking-strength figures, fixed tyre-pressure offsets and fixed SOC percentages are </w:t>
      </w:r>
      <w:r>
        <w:rPr>
          <w:b/>
        </w:rPr>
        <w:t>not stated</w:t>
      </w:r>
      <w:r>
        <w:t>; freight-blog values are not standards and must be replaced by the carrier/terminal/IMDG requirement for the voyage.</w:t>
      </w:r>
    </w:p>
    <w:p>
      <w:pPr>
        <w:pStyle w:val="ListBullet"/>
      </w:pPr>
      <w:r>
        <w:t>These preparation practices are operational, not statutory mandates.</w:t>
      </w:r>
    </w:p>
    <w:p>
      <w:pPr>
        <w:pStyle w:val="Heading1"/>
      </w:pPr>
      <w:r>
        <w:t>Frequently Asked Questions</w:t>
      </w:r>
    </w:p>
    <w:p>
      <w:r>
        <w:rPr>
          <w:b/>
        </w:rPr>
        <w:t>How much fuel should be left in an exported car?</w:t>
      </w:r>
      <w:r>
        <w:t xml:space="preserve"> Only enough for yard movement; the precise level is set by the carrier/terminal for that voyage — there is no single universal percentage to rely on. </w:t>
      </w:r>
      <w:r>
        <w:rPr>
          <w:b/>
        </w:rPr>
        <w:t>Do I disconnect an EV's battery before shipping?</w:t>
      </w:r>
      <w:r>
        <w:t xml:space="preserve"> Not the high-voltage battery; keep the traction battery at the carrier/IMDG-required state of charge. A 12 V auxiliary battery may follow different guidance. </w:t>
      </w:r>
      <w:r>
        <w:rPr>
          <w:b/>
        </w:rPr>
        <w:t>What makes a damage claim succeed?</w:t>
      </w:r>
      <w:r>
        <w:t xml:space="preserve"> A dated, VIN-linked photo/mileage record and a jointly signed handover note showing sound condition at export custody transfer. </w:t>
      </w:r>
      <w:r>
        <w:rPr>
          <w:b/>
        </w:rPr>
        <w:t>What condition must a RoRo vehicle meet?</w:t>
      </w:r>
      <w:r>
        <w:t xml:space="preserve"> It must be able to safely drive, brake and steer on and off the vessel.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Vehicle export booking/container loading: pre-load check and securing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11467 industry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https://m.11467.com/product/d39473622.htm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PDI items, ICE disconnect, lashing direction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RoRo export practice and third-party inspection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11467 industry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https://m.11467.com/product/d55278360.htm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RoRo drive-on condition, joint handover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Car container securing and tyre practice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11467 industry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https://m.11467.com/product/d38437434.htm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Multi-point tie-down principle</w:t>
            </w:r>
          </w:p>
        </w:tc>
      </w:tr>
    </w:tbl>
    <w:p>
      <w:r>
        <w:rPr>
          <w:i/>
        </w:rPr>
        <w:t>Confidence note: RESEARCH_CONDITIONAL. All numeric thresholds from freight SEO are treated as blocked and replaced by carrier/terminal/IMDG-defined values; work items and documentation principles retained.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China loading port / ocean carriage (carrier-specific values excluded)</w:t>
      </w:r>
    </w:p>
    <w:p>
      <w:pPr>
        <w:pStyle w:val="ListBullet"/>
      </w:pPr>
      <w:r>
        <w:rPr>
          <w:b/>
        </w:rPr>
        <w:t>Verification method</w:t>
      </w:r>
      <w:r>
        <w:t>: Practice synthesis; unverified numeric thresholds withheld rather than stated as standards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FACT_SOURCE_PASS=CONDITIONAL · SEO_PASS=PASS · CODEX_REVIEW_PASS=PENDING · PUBLISH_APPROVED=FALSE until independent sign-off</w:t>
      </w:r>
    </w:p>
    <w:p>
      <w:r>
        <w:rPr>
          <w:b/>
        </w:rPr>
        <w:t>Tags</w:t>
      </w:r>
      <w:r>
        <w:t>: #PDI #PreShipment #RoRo #VehicleLashing #ExportProtection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