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Taking a China-6 Vehicle Abroad: Emission Stage and Fuel Compatibility Without Assuming Euro Equivalence</w:t>
      </w:r>
    </w:p>
    <w:p>
      <w:pPr>
        <w:pStyle w:val="Heading1"/>
      </w:pPr>
      <w:r>
        <w:t>SEO Metadata</w:t>
      </w:r>
    </w:p>
    <w:p>
      <w:pPr>
        <w:pStyle w:val="ListBullet"/>
      </w:pPr>
      <w:r>
        <w:rPr>
          <w:b/>
        </w:rPr>
        <w:t>SEO Title</w:t>
      </w:r>
      <w:r>
        <w:t>: China-6 Vehicle Export: Emission Stage &amp; Fuel Compatibility Guide</w:t>
      </w:r>
    </w:p>
    <w:p>
      <w:pPr>
        <w:pStyle w:val="ListBullet"/>
      </w:pPr>
      <w:r>
        <w:rPr>
          <w:b/>
        </w:rPr>
        <w:t>Meta Description</w:t>
      </w:r>
      <w:r>
        <w:t>: How to judge whether a Chinese China-6 (GB 18352.6) petrol or diesel vehicle fits an overseas market — China-6 diesel sulphur limit, DPF/SCR risk on high-sulphur fuel, and why China-6 is not automatic Euro approval.</w:t>
      </w:r>
    </w:p>
    <w:p>
      <w:pPr>
        <w:pStyle w:val="ListBullet"/>
      </w:pPr>
      <w:r>
        <w:rPr>
          <w:b/>
        </w:rPr>
        <w:t>Suggested URL</w:t>
      </w:r>
      <w:r>
        <w:t>: /guides/chinese-vehicle-emission-fuel-compatibility</w:t>
      </w:r>
    </w:p>
    <w:p>
      <w:pPr>
        <w:pStyle w:val="ListBullet"/>
      </w:pPr>
      <w:r>
        <w:rPr>
          <w:b/>
        </w:rPr>
        <w:t>H1</w:t>
      </w:r>
      <w:r>
        <w:t>: Emission and Fuel Compatibility for Exported Chinese Vehicles: What China-6 Does and Does Not Tell You</w:t>
      </w:r>
    </w:p>
    <w:p>
      <w:pPr>
        <w:pStyle w:val="ListBullet"/>
      </w:pPr>
      <w:r>
        <w:rPr>
          <w:b/>
        </w:rPr>
        <w:t>Primary Keyword</w:t>
      </w:r>
      <w:r>
        <w:t>: chinese vehicle emission fuel sulfur compatibility export</w:t>
      </w:r>
    </w:p>
    <w:p>
      <w:pPr>
        <w:pStyle w:val="ListBullet"/>
      </w:pPr>
      <w:r>
        <w:rPr>
          <w:b/>
        </w:rPr>
        <w:t>Secondary Search Terms</w:t>
      </w:r>
      <w:r>
        <w:t>: China 6 GB18352.6, China-6 diesel sulphur 10ppm, DPF SCR high sulphur fuel, China-6 vs Euro, octane cetane export</w:t>
      </w:r>
    </w:p>
    <w:p>
      <w:pPr>
        <w:pStyle w:val="ListBullet"/>
      </w:pPr>
      <w:r>
        <w:rPr>
          <w:b/>
        </w:rPr>
        <w:t>Internal Link Suggestions</w:t>
      </w:r>
      <w:r>
        <w:t>: /vehicles/dongfeng-tianlong-kl/ ; /vehicles/jmc-shunda/ ; /guides/vehicle-vin-wmi-nameplate-compliance/</w:t>
      </w:r>
    </w:p>
    <w:p>
      <w:pPr>
        <w:pStyle w:val="ListBullet"/>
      </w:pPr>
      <w:r>
        <w:rPr>
          <w:b/>
        </w:rPr>
        <w:t>Image Suggestions</w:t>
      </w:r>
      <w:r>
        <w:t>: emission-standard relationship map; DPF/SCR fuel path; fuel-spec verification flow</w:t>
      </w:r>
    </w:p>
    <w:p>
      <w:pPr>
        <w:pStyle w:val="ListBullet"/>
      </w:pPr>
      <w:r>
        <w:rPr>
          <w:b/>
        </w:rPr>
        <w:t>ALT Suggestions</w:t>
      </w:r>
      <w:r>
        <w:t>: "China-6 emission and fuel sulphur compatibility for export"</w:t>
      </w:r>
    </w:p>
    <w:p>
      <w:pPr>
        <w:pStyle w:val="Heading1"/>
      </w:pPr>
      <w:r>
        <w:t>The Two Compatibility Questions Buyers Conflate</w:t>
      </w:r>
    </w:p>
    <w:p>
      <w:r>
        <w:t xml:space="preserve">When a Chinese car or truck is offered overseas, buyers ask "what emission standard is it?" and assume the answer also settles "will it run on local fuel and be registered?" Those are separate problems: an </w:t>
      </w:r>
      <w:r>
        <w:rPr>
          <w:b/>
        </w:rPr>
        <w:t>emission homologation</w:t>
      </w:r>
      <w:r>
        <w:t xml:space="preserve"> question and a </w:t>
      </w:r>
      <w:r>
        <w:rPr>
          <w:b/>
        </w:rPr>
        <w:t>fuel-compatibility/after-treatment</w:t>
      </w:r>
      <w:r>
        <w:t xml:space="preserve"> question. A vehicle can be China-6 certified, run badly on destination fuel, and still lack local type approval — all at once. This guide covers the </w:t>
      </w:r>
      <w:r>
        <w:rPr>
          <w:b/>
        </w:rPr>
        <w:t>Chinese standard and the matching principles</w:t>
      </w:r>
      <w:r>
        <w:t xml:space="preserve">; it deliberately does </w:t>
      </w:r>
      <w:r>
        <w:rPr>
          <w:b/>
        </w:rPr>
        <w:t>not</w:t>
      </w:r>
      <w:r>
        <w:t xml:space="preserve"> state UNECE/Euro numeric limits or EN fuel-spec values, because primary UNECE/CEN sources were not captured for this batch, and it never claims "China-6 equals Euro X."</w:t>
      </w:r>
    </w:p>
    <w:p>
      <w:pPr>
        <w:pStyle w:val="Heading1"/>
      </w:pPr>
      <w:r>
        <w:t>The Chinese Baseline: China-6 for Light Vehicles</w:t>
      </w:r>
    </w:p>
    <w:p>
      <w:r>
        <w:t xml:space="preserve">China's current light-vehicle emission stage is the </w:t>
      </w:r>
      <w:r>
        <w:rPr>
          <w:b/>
        </w:rPr>
        <w:t>sixth stage, GB 18352.6-2016 (China-6)</w:t>
      </w:r>
      <w:r>
        <w:t xml:space="preserve">, implemented in </w:t>
      </w:r>
      <w:r>
        <w:rPr>
          <w:b/>
        </w:rPr>
        <w:t>China-6a and China-6b</w:t>
      </w:r>
      <w:r>
        <w:t xml:space="preserve"> phases. Heavy-duty diesel vehicles follow their own China-6 stage. The standard number and phased rollout are the correct Chinese-side anchor; the precise comparison to any Euro stage number is </w:t>
      </w:r>
      <w:r>
        <w:rPr>
          <w:b/>
        </w:rPr>
        <w:t>not</w:t>
      </w:r>
      <w:r>
        <w:t xml:space="preserve"> made here without an official equivalence document.</w:t>
      </w:r>
    </w:p>
    <w:p>
      <w:pPr>
        <w:pStyle w:val="Heading1"/>
      </w:pPr>
      <w:r>
        <w:t>Fuel: the Diesel-Sulphur Problem Is Concrete</w:t>
      </w:r>
    </w:p>
    <w:p>
      <w:pPr>
        <w:pStyle w:val="ListBullet"/>
      </w:pPr>
      <w:r>
        <w:t xml:space="preserve">China's China-6 </w:t>
      </w:r>
      <w:r>
        <w:rPr>
          <w:b/>
        </w:rPr>
        <w:t>vehicle diesel</w:t>
      </w:r>
      <w:r>
        <w:t xml:space="preserve"> executes </w:t>
      </w:r>
      <w:r>
        <w:rPr>
          <w:b/>
        </w:rPr>
        <w:t>GB 19147</w:t>
      </w:r>
      <w:r>
        <w:t xml:space="preserve">, with a </w:t>
      </w:r>
      <w:r>
        <w:rPr>
          <w:b/>
        </w:rPr>
        <w:t>sulphur limit of ≤10 mg/kg (10 ppm)</w:t>
      </w:r>
      <w:r>
        <w:t xml:space="preserve"> — cross-supported by a provincial market-supervision sampling rule that cites GB 19147-2016 and by industry after-treatment guidance.</w:t>
      </w:r>
    </w:p>
    <w:p>
      <w:pPr>
        <w:pStyle w:val="ListBullet"/>
      </w:pPr>
      <w:r>
        <w:t xml:space="preserve">China-6 </w:t>
      </w:r>
      <w:r>
        <w:rPr>
          <w:b/>
        </w:rPr>
        <w:t>diesel vehicles carry DPF/SCR after-treatment</w:t>
      </w:r>
      <w:r>
        <w:t xml:space="preserve">. Running such a system for long periods on </w:t>
      </w:r>
      <w:r>
        <w:rPr>
          <w:b/>
        </w:rPr>
        <w:t>high-sulphur diesel can poison and disable the after-treatment</w:t>
      </w:r>
      <w:r>
        <w:t xml:space="preserve">, raising regeneration problems, derating and component damage. Before delivery to a market, </w:t>
      </w:r>
      <w:r>
        <w:rPr>
          <w:b/>
        </w:rPr>
        <w:t>confirm the destination diesel sulphur level</w:t>
      </w:r>
      <w:r>
        <w:t xml:space="preserve"> against what the engine and its after-treatment tolerate.</w:t>
      </w:r>
    </w:p>
    <w:p>
      <w:pPr>
        <w:pStyle w:val="ListBullet"/>
      </w:pPr>
      <w:r>
        <w:t xml:space="preserve">For petrol vehicles, confirm the destination </w:t>
      </w:r>
      <w:r>
        <w:rPr>
          <w:b/>
        </w:rPr>
        <w:t>octane rating</w:t>
      </w:r>
      <w:r>
        <w:t xml:space="preserve">; for diesel, confirm </w:t>
      </w:r>
      <w:r>
        <w:rPr>
          <w:b/>
        </w:rPr>
        <w:t>cetane and sulphur</w:t>
      </w:r>
      <w:r>
        <w:t xml:space="preserve"> against the owner's-manual requirement rather than assuming Chinese-grade fuel is available.</w:t>
      </w:r>
    </w:p>
    <w:p>
      <w:pPr>
        <w:pStyle w:val="Heading1"/>
      </w:pPr>
      <w:r>
        <w:t>Why China-6 Is Not Overseas Approval</w:t>
      </w:r>
    </w:p>
    <w:p>
      <w:r>
        <w:t xml:space="preserve">Overseas frameworks are built mainly around </w:t>
      </w:r>
      <w:r>
        <w:rPr>
          <w:b/>
        </w:rPr>
        <w:t>UNECE/Euro</w:t>
      </w:r>
      <w:r>
        <w:t xml:space="preserve"> regulation (and US EPA in North America). China-6 </w:t>
      </w:r>
      <w:r>
        <w:rPr>
          <w:b/>
        </w:rPr>
        <w:t>borrows from the European framework's architecture</w:t>
      </w:r>
      <w:r>
        <w:t xml:space="preserve">, but meeting a Chinese standard does </w:t>
      </w:r>
      <w:r>
        <w:rPr>
          <w:b/>
        </w:rPr>
        <w:t>not</w:t>
      </w:r>
      <w:r>
        <w:t xml:space="preserve"> constitute passing any overseas certification — homologation must be handled separately for the destination. There is no blanket "China-6 = Euro X" conclusion available without an official mutual-recognition document for the specific market and vehicle category.</w:t>
      </w:r>
    </w:p>
    <w:p>
      <w:pPr>
        <w:pStyle w:val="Heading1"/>
      </w:pPr>
      <w:r>
        <w:t>The Compatibility Check We Recommend</w:t>
      </w:r>
    </w:p>
    <w:p>
      <w:pPr>
        <w:pStyle w:val="ListNumber"/>
      </w:pPr>
      <w:r>
        <w:t xml:space="preserve">Identify the </w:t>
      </w:r>
      <w:r>
        <w:rPr>
          <w:b/>
        </w:rPr>
        <w:t>exact engine and after-treatment</w:t>
      </w:r>
      <w:r>
        <w:t xml:space="preserve"> (DPF/SCR for diesel) and its certified Chinese stage.</w:t>
      </w:r>
    </w:p>
    <w:p>
      <w:pPr>
        <w:pStyle w:val="ListNumber"/>
      </w:pPr>
      <w:r>
        <w:t xml:space="preserve">Obtain the destination's </w:t>
      </w:r>
      <w:r>
        <w:rPr>
          <w:b/>
        </w:rPr>
        <w:t>fuel specification</w:t>
      </w:r>
      <w:r>
        <w:t xml:space="preserve"> (sulphur/cetane/octane) and compare to the manual's requirement.</w:t>
      </w:r>
    </w:p>
    <w:p>
      <w:pPr>
        <w:pStyle w:val="ListNumber"/>
      </w:pPr>
      <w:r>
        <w:t xml:space="preserve">Identify the destination </w:t>
      </w:r>
      <w:r>
        <w:rPr>
          <w:b/>
        </w:rPr>
        <w:t>emission/type-approval route</w:t>
      </w:r>
      <w:r>
        <w:t xml:space="preserve"> as a separate workstream; do not treat the Chinese certificate as local access.</w:t>
      </w:r>
    </w:p>
    <w:p>
      <w:pPr>
        <w:pStyle w:val="ListNumber"/>
      </w:pPr>
      <w:r>
        <w:t xml:space="preserve">Where fuel quality is uncertain, raise the after-treatment risk with the OEM/importer </w:t>
      </w:r>
      <w:r>
        <w:rPr>
          <w:b/>
        </w:rPr>
        <w:t>before</w:t>
      </w:r>
      <w:r>
        <w:t xml:space="preserve"> shipment rather than after warranty claims appear.</w:t>
      </w:r>
    </w:p>
    <w:p>
      <w:pPr>
        <w:pStyle w:val="Heading1"/>
      </w:pPr>
      <w:r>
        <w:t>What This Page Does Not State</w:t>
      </w:r>
    </w:p>
    <w:p>
      <w:pPr>
        <w:pStyle w:val="ListBullet"/>
      </w:pPr>
      <w:r>
        <w:t>Precise UNECE R83/R49 or Euro-stage emission limits, and EN228/EN590 numeric specifications — primary sources were not captured; do not cite numbers from this page for them.</w:t>
      </w:r>
    </w:p>
    <w:p>
      <w:pPr>
        <w:pStyle w:val="ListBullet"/>
      </w:pPr>
      <w:r>
        <w:t>Any destination-specific "China-6 equivalent" conclusion — that requires an official recognition instrument.</w:t>
      </w:r>
    </w:p>
    <w:p>
      <w:pPr>
        <w:pStyle w:val="Heading1"/>
      </w:pPr>
      <w:r>
        <w:t>Frequently Asked Questions</w:t>
      </w:r>
    </w:p>
    <w:p>
      <w:r>
        <w:rPr>
          <w:b/>
        </w:rPr>
        <w:t>Is a China-6 car automatically Euro-certified?</w:t>
      </w:r>
      <w:r>
        <w:t xml:space="preserve"> No. China-6 draws on the European framework's structure but is a Chinese standard; destination type approval is a separate process. </w:t>
      </w:r>
      <w:r>
        <w:rPr>
          <w:b/>
        </w:rPr>
        <w:t>What sulphur level does China-6 diesel assume?</w:t>
      </w:r>
      <w:r>
        <w:t xml:space="preserve"> Chinese China-6 vehicle diesel under GB 19147 is limited to 10 mg/kg (10 ppm) sulphur. </w:t>
      </w:r>
      <w:r>
        <w:rPr>
          <w:b/>
        </w:rPr>
        <w:t>Why does high-sulphur diesel damage a China-6 diesel?</w:t>
      </w:r>
      <w:r>
        <w:t xml:space="preserve"> It can poison the DPF/SCR after-treatment, causing regeneration and derating problems over time. </w:t>
      </w:r>
      <w:r>
        <w:rPr>
          <w:b/>
        </w:rPr>
        <w:t>Which fuel properties should I check for the destination?</w:t>
      </w:r>
      <w:r>
        <w:t xml:space="preserve"> Petrol octane, and diesel cetane and sulphur, against the manufacturer's manual.</w:t>
      </w:r>
    </w:p>
    <w:p>
      <w:pPr>
        <w:pStyle w:val="Heading1"/>
      </w:pPr>
      <w:r>
        <w:t>Sources &amp; Verification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AF0F6"/>
          </w:tcPr>
          <w:p>
            <w:r>
              <w:rPr>
                <w:b/>
                <w:sz w:val="20"/>
              </w:rPr>
            </w:r>
            <w:r>
              <w:rPr>
                <w:b/>
                <w:sz w:val="20"/>
              </w:rPr>
              <w:t>Source title</w:t>
            </w:r>
          </w:p>
        </w:tc>
        <w:tc>
          <w:tcPr>
            <w:tcW w:type="dxa" w:w="1234"/>
            <w:shd w:val="clear" w:fill="EAF0F6"/>
          </w:tcPr>
          <w:p>
            <w:r>
              <w:rPr>
                <w:b/>
                <w:sz w:val="20"/>
              </w:rPr>
            </w:r>
            <w:r>
              <w:rPr>
                <w:b/>
                <w:sz w:val="20"/>
              </w:rPr>
              <w:t>Organization</w:t>
            </w:r>
          </w:p>
        </w:tc>
        <w:tc>
          <w:tcPr>
            <w:tcW w:type="dxa" w:w="1234"/>
            <w:shd w:val="clear" w:fill="EAF0F6"/>
          </w:tcPr>
          <w:p>
            <w:r>
              <w:rPr>
                <w:b/>
                <w:sz w:val="20"/>
              </w:rPr>
            </w:r>
            <w:r>
              <w:rPr>
                <w:b/>
                <w:sz w:val="20"/>
              </w:rPr>
              <w:t>Market</w:t>
            </w:r>
          </w:p>
        </w:tc>
        <w:tc>
          <w:tcPr>
            <w:tcW w:type="dxa" w:w="1234"/>
            <w:shd w:val="clear" w:fill="EAF0F6"/>
          </w:tcPr>
          <w:p>
            <w:r>
              <w:rPr>
                <w:b/>
                <w:sz w:val="20"/>
              </w:rPr>
            </w:r>
            <w:r>
              <w:rPr>
                <w:b/>
                <w:sz w:val="20"/>
              </w:rPr>
              <w:t>URL</w:t>
            </w:r>
          </w:p>
        </w:tc>
        <w:tc>
          <w:tcPr>
            <w:tcW w:type="dxa" w:w="1234"/>
            <w:shd w:val="clear" w:fill="EAF0F6"/>
          </w:tcPr>
          <w:p>
            <w:r>
              <w:rPr>
                <w:b/>
                <w:sz w:val="20"/>
              </w:rPr>
            </w:r>
            <w:r>
              <w:rPr>
                <w:b/>
                <w:sz w:val="20"/>
              </w:rPr>
              <w:t>Checked</w:t>
            </w:r>
          </w:p>
        </w:tc>
        <w:tc>
          <w:tcPr>
            <w:tcW w:type="dxa" w:w="1234"/>
            <w:shd w:val="clear" w:fill="EAF0F6"/>
          </w:tcPr>
          <w:p>
            <w:r>
              <w:rPr>
                <w:b/>
                <w:sz w:val="20"/>
              </w:rPr>
            </w:r>
            <w:r>
              <w:rPr>
                <w:b/>
                <w:sz w:val="20"/>
              </w:rPr>
              <w:t>Confidence</w:t>
            </w:r>
          </w:p>
        </w:tc>
        <w:tc>
          <w:tcPr>
            <w:tcW w:type="dxa" w:w="1234"/>
            <w:shd w:val="clear" w:fill="EAF0F6"/>
          </w:tcPr>
          <w:p>
            <w:r>
              <w:rPr>
                <w:b/>
                <w:sz w:val="20"/>
              </w:rPr>
            </w:r>
            <w:r>
              <w:rPr>
                <w:b/>
                <w:sz w:val="20"/>
              </w:rPr>
              <w:t>Supported facts</w:t>
            </w:r>
          </w:p>
        </w:tc>
      </w:tr>
      <w:tr>
        <w:tc>
          <w:tcPr>
            <w:tcW w:type="dxa" w:w="1234"/>
          </w:tcPr>
          <w:p>
            <w:r>
              <w:rPr>
                <w:sz w:val="20"/>
              </w:rPr>
            </w:r>
            <w:r>
              <w:rPr>
                <w:sz w:val="20"/>
              </w:rPr>
              <w:t>Light-vehicle China-6 standard GB18352.6-2016 text</w:t>
            </w:r>
          </w:p>
        </w:tc>
        <w:tc>
          <w:tcPr>
            <w:tcW w:type="dxa" w:w="1234"/>
          </w:tcPr>
          <w:p>
            <w:r>
              <w:rPr>
                <w:sz w:val="20"/>
              </w:rPr>
            </w:r>
            <w:r>
              <w:rPr>
                <w:sz w:val="20"/>
              </w:rPr>
              <w:t>ChinaAutoRegs (repost)</w:t>
            </w:r>
          </w:p>
        </w:tc>
        <w:tc>
          <w:tcPr>
            <w:tcW w:type="dxa" w:w="1234"/>
          </w:tcPr>
          <w:p>
            <w:r>
              <w:rPr>
                <w:sz w:val="20"/>
              </w:rPr>
            </w:r>
            <w:r>
              <w:rPr>
                <w:sz w:val="20"/>
              </w:rPr>
              <w:t>CN</w:t>
            </w:r>
          </w:p>
        </w:tc>
        <w:tc>
          <w:tcPr>
            <w:tcW w:type="dxa" w:w="1234"/>
          </w:tcPr>
          <w:p>
            <w:r>
              <w:rPr>
                <w:sz w:val="20"/>
              </w:rPr>
            </w:r>
            <w:r>
              <w:rPr>
                <w:sz w:val="20"/>
              </w:rPr>
              <w:t>http://m.toutiao.com/group/6758333762372633092/</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GB number, 6a/6b phases, framework</w:t>
            </w:r>
          </w:p>
        </w:tc>
      </w:tr>
      <w:tr>
        <w:tc>
          <w:tcPr>
            <w:tcW w:type="dxa" w:w="1234"/>
          </w:tcPr>
          <w:p>
            <w:r>
              <w:rPr>
                <w:sz w:val="20"/>
              </w:rPr>
            </w:r>
            <w:r>
              <w:rPr>
                <w:sz w:val="20"/>
              </w:rPr>
              <w:t>Liaoning vehicle-diesel quality sampling rule (cites GB19147-2016)</w:t>
            </w:r>
          </w:p>
        </w:tc>
        <w:tc>
          <w:tcPr>
            <w:tcW w:type="dxa" w:w="1234"/>
          </w:tcPr>
          <w:p>
            <w:r>
              <w:rPr>
                <w:sz w:val="20"/>
              </w:rPr>
            </w:r>
            <w:r>
              <w:rPr>
                <w:sz w:val="20"/>
              </w:rPr>
              <w:t>Panjin Municipal Government</w:t>
            </w:r>
          </w:p>
        </w:tc>
        <w:tc>
          <w:tcPr>
            <w:tcW w:type="dxa" w:w="1234"/>
          </w:tcPr>
          <w:p>
            <w:r>
              <w:rPr>
                <w:sz w:val="20"/>
              </w:rPr>
            </w:r>
            <w:r>
              <w:rPr>
                <w:sz w:val="20"/>
              </w:rPr>
              <w:t>CN</w:t>
            </w:r>
          </w:p>
        </w:tc>
        <w:tc>
          <w:tcPr>
            <w:tcW w:type="dxa" w:w="1234"/>
          </w:tcPr>
          <w:p>
            <w:r>
              <w:rPr>
                <w:sz w:val="20"/>
              </w:rPr>
            </w:r>
            <w:r>
              <w:rPr>
                <w:sz w:val="20"/>
              </w:rPr>
              <w:t>http://www.panjin.gov.cn/html/2731/2026-07-29/content-152533.html</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≤10 mg/kg sulphur</w:t>
            </w:r>
          </w:p>
        </w:tc>
      </w:tr>
      <w:tr>
        <w:tc>
          <w:tcPr>
            <w:tcW w:type="dxa" w:w="1234"/>
          </w:tcPr>
          <w:p>
            <w:r>
              <w:rPr>
                <w:sz w:val="20"/>
              </w:rPr>
            </w:r>
            <w:r>
              <w:rPr>
                <w:sz w:val="20"/>
              </w:rPr>
              <w:t>China-6 diesel sulphur ≤10ppm and after-treatment protection</w:t>
            </w:r>
          </w:p>
        </w:tc>
        <w:tc>
          <w:tcPr>
            <w:tcW w:type="dxa" w:w="1234"/>
          </w:tcPr>
          <w:p>
            <w:r>
              <w:rPr>
                <w:sz w:val="20"/>
              </w:rPr>
            </w:r>
            <w:r>
              <w:rPr>
                <w:sz w:val="20"/>
              </w:rPr>
              <w:t>11467 testing body</w:t>
            </w:r>
          </w:p>
        </w:tc>
        <w:tc>
          <w:tcPr>
            <w:tcW w:type="dxa" w:w="1234"/>
          </w:tcPr>
          <w:p>
            <w:r>
              <w:rPr>
                <w:sz w:val="20"/>
              </w:rPr>
            </w:r>
            <w:r>
              <w:rPr>
                <w:sz w:val="20"/>
              </w:rPr>
              <w:t>CN</w:t>
            </w:r>
          </w:p>
        </w:tc>
        <w:tc>
          <w:tcPr>
            <w:tcW w:type="dxa" w:w="1234"/>
          </w:tcPr>
          <w:p>
            <w:r>
              <w:rPr>
                <w:sz w:val="20"/>
              </w:rPr>
            </w:r>
            <w:r>
              <w:rPr>
                <w:sz w:val="20"/>
              </w:rPr>
              <w:t>https://m.11467.com/product/d51123633.htm</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DPF/SCR poisoning mechanism, fuel match</w:t>
            </w:r>
          </w:p>
        </w:tc>
      </w:tr>
    </w:tbl>
    <w:p>
      <w:r>
        <w:rPr>
          <w:i/>
        </w:rPr>
        <w:t>Confidence note: RESEARCH_CONDITIONAL. China standard and sulphur limit stated; UNECE/Euro numeric limits, EN specs and any equivalence conclusion are blocked pending primary sources.</w:t>
      </w:r>
    </w:p>
    <w:p>
      <w:pPr>
        <w:pStyle w:val="Heading1"/>
      </w:pPr>
      <w:r>
        <w:t>Editorial Review</w:t>
      </w:r>
    </w:p>
    <w:p>
      <w:pPr>
        <w:pStyle w:val="ListBullet"/>
      </w:pPr>
      <w:r>
        <w:rPr>
          <w:b/>
        </w:rPr>
        <w:t>Author / reviewer</w:t>
      </w:r>
      <w:r>
        <w:t>: [AutoBridge Export Sourcing Team](/authors/) · method per our [Editorial Policy](/editorial-policy/)</w:t>
      </w:r>
    </w:p>
    <w:p>
      <w:pPr>
        <w:pStyle w:val="ListBullet"/>
      </w:pPr>
      <w:r>
        <w:rPr>
          <w:b/>
        </w:rPr>
        <w:t>Last reviewed</w:t>
      </w:r>
      <w:r>
        <w:t>: 2026-09-04</w:t>
      </w:r>
    </w:p>
    <w:p>
      <w:pPr>
        <w:pStyle w:val="ListBullet"/>
      </w:pPr>
      <w:r>
        <w:rPr>
          <w:b/>
        </w:rPr>
        <w:t>Reference market</w:t>
      </w:r>
      <w:r>
        <w:t>: Chinese standard + international framework (no destination equivalence asserted)</w:t>
      </w:r>
    </w:p>
    <w:p>
      <w:pPr>
        <w:pStyle w:val="ListBullet"/>
      </w:pPr>
      <w:r>
        <w:rPr>
          <w:b/>
        </w:rPr>
        <w:t>Verification method</w:t>
      </w:r>
      <w:r>
        <w:t>: Government + industry cross-check for sulphur; equivalence and foreign numeric limits withheld</w:t>
      </w:r>
    </w:p>
    <w:p>
      <w:pPr>
        <w:pStyle w:val="ListBullet"/>
      </w:pPr>
      <w:r>
        <w:rPr>
          <w:b/>
        </w:rPr>
        <w:t>Quality gates</w:t>
      </w:r>
      <w:r>
        <w:t>: EDITORIAL_QA_PASS=PASS · FACT_SOURCE_PASS=CONDITIONAL · SEO_PASS=PASS · CODEX_REVIEW_PASS=PENDING · PUBLISH_APPROVED=FALSE until independent sign-off</w:t>
      </w:r>
    </w:p>
    <w:p>
      <w:r>
        <w:rPr>
          <w:b/>
        </w:rPr>
        <w:t>Tags</w:t>
      </w:r>
      <w:r>
        <w:t>: #China6 #EmissionStandard #DieselSulphur #DPFSCR #ExportCompatibility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