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VIN and Nameplate Compliance for Export: Reading the 17 Characters and Matching Four Documents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Export Vehicle VIN &amp; Nameplate Compliance Guide (WMI/VDS/VIS)</w:t>
      </w:r>
    </w:p>
    <w:p>
      <w:pPr>
        <w:pStyle w:val="ListBullet"/>
      </w:pPr>
      <w:r>
        <w:rPr>
          <w:b/>
        </w:rPr>
        <w:t>Meta Description</w:t>
      </w:r>
      <w:r>
        <w:t>: How a 17-character VIN is structured (WMI/VDS/VIS), why GB 16735 is mandatory for Chinese road-vehicle access, and the four-place consistency check exporters run before customs and registration.</w:t>
      </w:r>
    </w:p>
    <w:p>
      <w:pPr>
        <w:pStyle w:val="ListBullet"/>
      </w:pPr>
      <w:r>
        <w:rPr>
          <w:b/>
        </w:rPr>
        <w:t>Suggested URL</w:t>
      </w:r>
      <w:r>
        <w:t>: /guides/vehicle-vin-wmi-nameplate-compliance</w:t>
      </w:r>
    </w:p>
    <w:p>
      <w:pPr>
        <w:pStyle w:val="ListBullet"/>
      </w:pPr>
      <w:r>
        <w:rPr>
          <w:b/>
        </w:rPr>
        <w:t>H1</w:t>
      </w:r>
      <w:r>
        <w:t>: VIN and Nameplate Verification for Exported Chinese Vehicles</w:t>
      </w:r>
    </w:p>
    <w:p>
      <w:pPr>
        <w:pStyle w:val="ListBullet"/>
      </w:pPr>
      <w:r>
        <w:rPr>
          <w:b/>
        </w:rPr>
        <w:t>Primary Keyword</w:t>
      </w:r>
      <w:r>
        <w:t>: vehicle vin structure wmi nameplate compliance export</w:t>
      </w:r>
    </w:p>
    <w:p>
      <w:pPr>
        <w:pStyle w:val="ListBullet"/>
      </w:pPr>
      <w:r>
        <w:rPr>
          <w:b/>
        </w:rPr>
        <w:t>Secondary Search Terms</w:t>
      </w:r>
      <w:r>
        <w:t>: 17-character VIN, WMI VDS VIS, GB16735, Chinese VIN first character L, VIN nameplate certificate consistency</w:t>
      </w:r>
    </w:p>
    <w:p>
      <w:pPr>
        <w:pStyle w:val="ListBullet"/>
      </w:pPr>
      <w:r>
        <w:rPr>
          <w:b/>
        </w:rPr>
        <w:t>Internal Link Suggestions</w:t>
      </w:r>
      <w:r>
        <w:t>: /guides/export-vehicle-document-package/ ; /guides/vehicle-export-hs-code-classification/ ; /vehicles/jac-t9-hunter/</w:t>
      </w:r>
    </w:p>
    <w:p>
      <w:pPr>
        <w:pStyle w:val="ListBullet"/>
      </w:pPr>
      <w:r>
        <w:rPr>
          <w:b/>
        </w:rPr>
        <w:t>Image Suggestions</w:t>
      </w:r>
      <w:r>
        <w:t>: 17-char VIN segment diagram; four-document consistency flow; nameplate field callouts</w:t>
      </w:r>
    </w:p>
    <w:p>
      <w:pPr>
        <w:pStyle w:val="ListBullet"/>
      </w:pPr>
      <w:r>
        <w:rPr>
          <w:b/>
        </w:rPr>
        <w:t>ALT Suggestions</w:t>
      </w:r>
      <w:r>
        <w:t>: "17 character VIN WMI VDS VIS structure and four-place match"</w:t>
      </w:r>
    </w:p>
    <w:p>
      <w:pPr>
        <w:pStyle w:val="Heading1"/>
      </w:pPr>
      <w:r>
        <w:t>Why Overseas Customs and Registries Start With the VIN</w:t>
      </w:r>
    </w:p>
    <w:p>
      <w:r>
        <w:t xml:space="preserve">The VIN is the one identifier that follows a vehicle through factory certificate, export documents, shipping, customs and overseas registration. A mismatch between the stamped VIN, the nameplate and the paperwork is one of the fastest ways to stall clearance — and it is almost entirely preventable before shipment. This guide explains the </w:t>
      </w:r>
      <w:r>
        <w:rPr>
          <w:b/>
        </w:rPr>
        <w:t>17-character structure under Chinese standard GB 16735</w:t>
      </w:r>
      <w:r>
        <w:t xml:space="preserve"> and the consistency check we recommend. Destination-specific VIN-format rules are country matters and are not generalized here.</w:t>
      </w:r>
    </w:p>
    <w:p>
      <w:pPr>
        <w:pStyle w:val="Heading1"/>
      </w:pPr>
      <w:r>
        <w:t>The 17-Character Structure</w:t>
      </w:r>
    </w:p>
    <w:p>
      <w:r>
        <w:t xml:space="preserve">A VIN is </w:t>
      </w:r>
      <w:r>
        <w:rPr>
          <w:b/>
        </w:rPr>
        <w:t>17 characters</w:t>
      </w:r>
      <w:r>
        <w:t xml:space="preserve"> in three sections:</w:t>
      </w:r>
    </w:p>
    <w:p>
      <w:pPr>
        <w:pStyle w:val="ListBullet"/>
      </w:pPr>
      <w:r>
        <w:rPr>
          <w:b/>
        </w:rPr>
        <w:t>WMI (World Manufacturer Identifier)</w:t>
      </w:r>
      <w:r>
        <w:t xml:space="preserve"> — the </w:t>
      </w:r>
      <w:r>
        <w:rPr>
          <w:b/>
        </w:rPr>
        <w:t>first 3 characters</w:t>
      </w:r>
      <w:r>
        <w:t xml:space="preserve">, assigned in advance by the authorized body of the manufacturer's country/region, per </w:t>
      </w:r>
      <w:r>
        <w:rPr>
          <w:b/>
        </w:rPr>
        <w:t>GB 16737</w:t>
      </w:r>
      <w:r>
        <w:t>. It identifies the manufacturer.</w:t>
      </w:r>
    </w:p>
    <w:p>
      <w:pPr>
        <w:pStyle w:val="ListBullet"/>
      </w:pPr>
      <w:r>
        <w:rPr>
          <w:b/>
        </w:rPr>
        <w:t>VDS (Vehicle Descriptor Section)</w:t>
      </w:r>
      <w:r>
        <w:t xml:space="preserve"> — </w:t>
      </w:r>
      <w:r>
        <w:rPr>
          <w:b/>
        </w:rPr>
        <w:t>positions 4–9</w:t>
      </w:r>
      <w:r>
        <w:t xml:space="preserve">, describing model/engine and other characteristics; </w:t>
      </w:r>
      <w:r>
        <w:rPr>
          <w:b/>
        </w:rPr>
        <w:t>position 9 is the check digit</w:t>
      </w:r>
      <w:r>
        <w:t>.</w:t>
      </w:r>
    </w:p>
    <w:p>
      <w:pPr>
        <w:pStyle w:val="ListBullet"/>
      </w:pPr>
      <w:r>
        <w:rPr>
          <w:b/>
        </w:rPr>
        <w:t>VIS (Vehicle Indicator Section)</w:t>
      </w:r>
      <w:r>
        <w:t xml:space="preserve"> — </w:t>
      </w:r>
      <w:r>
        <w:rPr>
          <w:b/>
        </w:rPr>
        <w:t>positions 10–17</w:t>
      </w:r>
      <w:r>
        <w:t xml:space="preserve">, carrying the </w:t>
      </w:r>
      <w:r>
        <w:rPr>
          <w:b/>
        </w:rPr>
        <w:t>model year, assembly plant and production serial number</w:t>
      </w:r>
      <w:r>
        <w:t>.</w:t>
      </w:r>
    </w:p>
    <w:p>
      <w:r>
        <w:t xml:space="preserve">A useful first-pass origin cue: vehicles made in China generally carry a WMI beginning with </w:t>
      </w:r>
      <w:r>
        <w:rPr>
          <w:b/>
        </w:rPr>
        <w:t>L</w:t>
      </w:r>
      <w:r>
        <w:t xml:space="preserve"> (some with </w:t>
      </w:r>
      <w:r>
        <w:rPr>
          <w:b/>
        </w:rPr>
        <w:t>H</w:t>
      </w:r>
      <w:r>
        <w:t>). This is a screening hint only — the authoritative mapping is the assigned WMI register, so do not infer a specific manufacturer from a prefix without checking the allocation.</w:t>
      </w:r>
    </w:p>
    <w:p>
      <w:pPr>
        <w:pStyle w:val="Heading1"/>
      </w:pPr>
      <w:r>
        <w:t>Why It Is Mandatory, Not Cosmetic</w:t>
      </w:r>
    </w:p>
    <w:p>
      <w:r>
        <w:rPr>
          <w:b/>
        </w:rPr>
        <w:t>GB 16735 is cited as a mandatory standard in the road-motor-vehicle product-access review requirements</w:t>
      </w:r>
      <w:r>
        <w:t xml:space="preserve"> issued by the Ministry of Industry and Information Technology (MIIT). Under that regime the </w:t>
      </w:r>
      <w:r>
        <w:rPr>
          <w:b/>
        </w:rPr>
        <w:t>VIN, the nameplate, the manufacturer certificate and the registration document must agree</w:t>
      </w:r>
      <w:r>
        <w:t>. That four-way consistency is a compliance requirement at home and is exactly what overseas authorities re-test in their own way.</w:t>
      </w:r>
    </w:p>
    <w:p>
      <w:pPr>
        <w:pStyle w:val="Heading1"/>
      </w:pPr>
      <w:r>
        <w:t>The Four-Place Consistency Check Before Payment/Shipment</w:t>
      </w:r>
    </w:p>
    <w:p>
      <w:pPr>
        <w:pStyle w:val="ListNumber"/>
      </w:pPr>
      <w:r>
        <w:rPr>
          <w:b/>
        </w:rPr>
        <w:t>Stamped/chiselled VIN on the body</w:t>
      </w:r>
      <w:r>
        <w:t xml:space="preserve"> (the permanent marking).</w:t>
      </w:r>
    </w:p>
    <w:p>
      <w:pPr>
        <w:pStyle w:val="ListNumber"/>
      </w:pPr>
      <w:r>
        <w:rPr>
          <w:b/>
        </w:rPr>
        <w:t>VIN on the factory nameplate</w:t>
      </w:r>
      <w:r>
        <w:t xml:space="preserve"> (and its other fields: model, GVW/payload for commercials, manufacture date, engine).</w:t>
      </w:r>
    </w:p>
    <w:p>
      <w:pPr>
        <w:pStyle w:val="ListNumber"/>
      </w:pPr>
      <w:r>
        <w:rPr>
          <w:b/>
        </w:rPr>
        <w:t>VIN on the manufacturer certificate / CoC</w:t>
      </w:r>
      <w:r>
        <w:t>.</w:t>
      </w:r>
    </w:p>
    <w:p>
      <w:pPr>
        <w:pStyle w:val="ListNumber"/>
      </w:pPr>
      <w:r>
        <w:rPr>
          <w:b/>
        </w:rPr>
        <w:t>VIN in the accompanying documents</w:t>
      </w:r>
      <w:r>
        <w:t xml:space="preserve"> (invoice, export paperwork, shipping documents).</w:t>
      </w:r>
    </w:p>
    <w:p>
      <w:r>
        <w:t xml:space="preserve">All four must be character-identical. Inspect the stamping for signs of </w:t>
      </w:r>
      <w:r>
        <w:rPr>
          <w:b/>
        </w:rPr>
        <w:t>grinding, re-stamping or over-painting</w:t>
      </w:r>
      <w:r>
        <w:t xml:space="preserve">, and confirm the nameplate is securely fixed with no evidence of replacement. For commercial vehicles also reconcile nameplate </w:t>
      </w:r>
      <w:r>
        <w:rPr>
          <w:b/>
        </w:rPr>
        <w:t>GVW/payload</w:t>
      </w:r>
      <w:r>
        <w:t xml:space="preserve"> against the certificate (see the light-truck and tractor pages for why this matters).</w:t>
      </w:r>
    </w:p>
    <w:p>
      <w:pPr>
        <w:pStyle w:val="Heading1"/>
      </w:pPr>
      <w:r>
        <w:t>How This Feeds the Export Paper Set</w:t>
      </w:r>
    </w:p>
    <w:p>
      <w:r>
        <w:t>The VIN check is the front end of the export document package: once the four places agree, the same identifier must flow unchanged through the certificate of conformity, spec sheet and shipping documents (see the document-package guide). A VIN corrected after booking can trigger B/L and manifest amendments.</w:t>
      </w:r>
    </w:p>
    <w:p>
      <w:pPr>
        <w:pStyle w:val="Heading1"/>
      </w:pPr>
      <w:r>
        <w:t>Boundaries of This Guide</w:t>
      </w:r>
    </w:p>
    <w:p>
      <w:pPr>
        <w:pStyle w:val="ListBullet"/>
      </w:pPr>
      <w:r>
        <w:t>Which specific WMI prefix belongs to which manufacturer requires the authorized allocation register and is not guessed here.</w:t>
      </w:r>
    </w:p>
    <w:p>
      <w:pPr>
        <w:pStyle w:val="ListBullet"/>
      </w:pPr>
      <w:r>
        <w:t>Destination-country VIN-format or inspection requirements are handled per country, not generalized.</w:t>
      </w:r>
    </w:p>
    <w:p>
      <w:pPr>
        <w:pStyle w:val="Heading1"/>
      </w:pPr>
      <w:r>
        <w:t>Frequently Asked Questions</w:t>
      </w:r>
    </w:p>
    <w:p>
      <w:r>
        <w:rPr>
          <w:b/>
        </w:rPr>
        <w:t>How many characters is a VIN?</w:t>
      </w:r>
      <w:r>
        <w:t xml:space="preserve"> 17, split into WMI (1–3), VDS (4–9, with check digit at 9) and VIS (10–17). </w:t>
      </w:r>
      <w:r>
        <w:rPr>
          <w:b/>
        </w:rPr>
        <w:t>What does the first character tell me?</w:t>
      </w:r>
      <w:r>
        <w:t xml:space="preserve"> Chinese-built vehicles usually start with L (some H), but confirm the manufacturer through the WMI register rather than inferring it. </w:t>
      </w:r>
      <w:r>
        <w:rPr>
          <w:b/>
        </w:rPr>
        <w:t>Which four places must match?</w:t>
      </w:r>
      <w:r>
        <w:t xml:space="preserve"> The body stamping, the nameplate, the manufacturer certificate/CoC and the shipping/export documents. </w:t>
      </w:r>
      <w:r>
        <w:rPr>
          <w:b/>
        </w:rPr>
        <w:t>Is GB 16735 optional?</w:t>
      </w:r>
      <w:r>
        <w:t xml:space="preserve"> It is cited as a mandatory standard in MIIT road-vehicle product-access requirements.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Road vehicle VIN GB16735-2019 text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standard public text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https://m.baike.com/wiki/%E8%BD%A6%E8%BE%86%E8%AF%86%E5%88%AB%E4%BB%A3%E5%8F%B7/1470666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17-char, WMI/VDS/VIS, check digit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Road motor-vehicle product-access review requirements (cites GB16735 as mandatory)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MIIT (official PDF)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https://wap.miit.gov.cn/cms_files/filemanager/1226211233/attach/20259/9d0824a8e8a84abf858f3cb96a6d7385.pdf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Mandatory status, four-document consistency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VIN three-section position explanation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http://m.pcauto.com.cn/x/5100/51002243.html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Position detail, L/H first-char cue</w:t>
            </w:r>
          </w:p>
        </w:tc>
      </w:tr>
    </w:tbl>
    <w:p>
      <w:r>
        <w:rPr>
          <w:i/>
        </w:rPr>
        <w:t>Scope note: Chinese GB structure and mandatory status; specific WMI ownership and destination VIN rules are out of scope.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2026-09-04</w:t>
      </w:r>
    </w:p>
    <w:p>
      <w:pPr>
        <w:pStyle w:val="ListBullet"/>
      </w:pPr>
      <w:r>
        <w:rPr>
          <w:b/>
        </w:rPr>
        <w:t>Reference market</w:t>
      </w:r>
      <w:r>
        <w:t>: Chinese GB 16735/GB 16737 framework (destination VIN rules excluded)</w:t>
      </w:r>
    </w:p>
    <w:p>
      <w:pPr>
        <w:pStyle w:val="ListBullet"/>
      </w:pPr>
      <w:r>
        <w:rPr>
          <w:b/>
        </w:rPr>
        <w:t>Verification method</w:t>
      </w:r>
      <w:r>
        <w:t>: MIIT mandatory anchor; structure cross-checked; four-place match method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#VIN #Nameplate #GB16735 #WMI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