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Shipping EV Batteries and Battery-Powered Vehicles by Sea: the Current IMDG 42-24 Classification (UN3556, UN3480/3481)</w:t>
      </w:r>
    </w:p>
    <w:p>
      <w:pPr>
        <w:pStyle w:val="Heading1"/>
      </w:pPr>
      <w:r>
        <w:t>SEO Metadata</w:t>
      </w:r>
    </w:p>
    <w:p>
      <w:pPr>
        <w:pStyle w:val="ListBullet"/>
      </w:pPr>
      <w:r>
        <w:rPr>
          <w:b/>
        </w:rPr>
        <w:t>SEO Title</w:t>
      </w:r>
      <w:r>
        <w:t>: EV Battery &amp; Vehicle Sea Shipping Under IMDG 42-24 — UN3556 Guide</w:t>
      </w:r>
    </w:p>
    <w:p>
      <w:pPr>
        <w:pStyle w:val="ListBullet"/>
      </w:pPr>
      <w:r>
        <w:rPr>
          <w:b/>
        </w:rPr>
        <w:t>Meta Description</w:t>
      </w:r>
      <w:r>
        <w:t>: Current IMDG Amendment 42-24 rules for lithium vehicles (UN3556/3557/3558, P912), why lithium vehicles no longer use UN3171, loose-battery UN3480/3481 and the UN38.3 framework.</w:t>
      </w:r>
    </w:p>
    <w:p>
      <w:pPr>
        <w:pStyle w:val="ListBullet"/>
      </w:pPr>
      <w:r>
        <w:rPr>
          <w:b/>
        </w:rPr>
        <w:t>Suggested URL</w:t>
      </w:r>
      <w:r>
        <w:t>: /guides/ev-battery-shipping-imdg-42-24</w:t>
      </w:r>
    </w:p>
    <w:p>
      <w:pPr>
        <w:pStyle w:val="ListBullet"/>
      </w:pPr>
      <w:r>
        <w:rPr>
          <w:b/>
        </w:rPr>
        <w:t>H1</w:t>
      </w:r>
      <w:r>
        <w:t>: Dangerous-Goods Classification for Electric Vehicles and Spare Batteries Under Current IMDG 42-24</w:t>
      </w:r>
    </w:p>
    <w:p>
      <w:pPr>
        <w:pStyle w:val="ListBullet"/>
      </w:pPr>
      <w:r>
        <w:rPr>
          <w:b/>
        </w:rPr>
        <w:t>Primary Keyword</w:t>
      </w:r>
      <w:r>
        <w:t>: ev battery shipping un3480 un3481 un383 imdg 42-24</w:t>
      </w:r>
    </w:p>
    <w:p>
      <w:pPr>
        <w:pStyle w:val="ListBullet"/>
      </w:pPr>
      <w:r>
        <w:rPr>
          <w:b/>
        </w:rPr>
        <w:t>Secondary Search Terms</w:t>
      </w:r>
      <w:r>
        <w:t>: UN3556 lithium-ion vehicle, UN3557 lithium metal, UN3558 sodium-ion, P912 packing, UN3171 narrowed, SP405, MSA IMDG</w:t>
      </w:r>
    </w:p>
    <w:p>
      <w:pPr>
        <w:pStyle w:val="ListBullet"/>
      </w:pPr>
      <w:r>
        <w:rPr>
          <w:b/>
        </w:rPr>
        <w:t>Internal Link Suggestions</w:t>
      </w:r>
      <w:r>
        <w:t>: /guides/vehicle-export-pdi-protection/ ; /guides/export-vehicle-document-package/ ; /vehicles/wuling-bingo/</w:t>
      </w:r>
    </w:p>
    <w:p>
      <w:pPr>
        <w:pStyle w:val="ListBullet"/>
      </w:pPr>
      <w:r>
        <w:rPr>
          <w:b/>
        </w:rPr>
        <w:t>Image Suggestions</w:t>
      </w:r>
      <w:r>
        <w:t>: UN number decision tree (installed vs loose battery); IMDG amendment timeline; Class 9 marking</w:t>
      </w:r>
    </w:p>
    <w:p>
      <w:pPr>
        <w:pStyle w:val="ListBullet"/>
      </w:pPr>
      <w:r>
        <w:rPr>
          <w:b/>
        </w:rPr>
        <w:t>ALT Suggestions</w:t>
      </w:r>
      <w:r>
        <w:t>: "IMDG 42-24 UN3556 vehicle and UN3480 loose battery classification"</w:t>
      </w:r>
    </w:p>
    <w:p>
      <w:pPr>
        <w:pStyle w:val="Heading1"/>
      </w:pPr>
      <w:r>
        <w:t>The Version Question Comes First</w:t>
      </w:r>
    </w:p>
    <w:p>
      <w:r>
        <w:t xml:space="preserve">Dangerous-goods guidance goes stale fast, and quoting a superseded UN number is a compliance failure, not a typo. The </w:t>
      </w:r>
      <w:r>
        <w:rPr>
          <w:b/>
        </w:rPr>
        <w:t>current mandatory IMDG Code is Amendment 42-24</w:t>
      </w:r>
      <w:r>
        <w:t xml:space="preserve">, adopted by IMO Resolution </w:t>
      </w:r>
      <w:r>
        <w:rPr>
          <w:b/>
        </w:rPr>
        <w:t>MSC.556(108)</w:t>
      </w:r>
      <w:r>
        <w:t xml:space="preserve">, </w:t>
      </w:r>
      <w:r>
        <w:rPr>
          <w:b/>
        </w:rPr>
        <w:t>mandatory in China from 2026-01-01</w:t>
      </w:r>
      <w:r>
        <w:t xml:space="preserve"> (China Maritime Safety Administration official Chinese text). Any vehicle/battery shipping procedure written for older amendments must be re-checked against 42-24.</w:t>
      </w:r>
    </w:p>
    <w:p>
      <w:pPr>
        <w:pStyle w:val="Heading1"/>
      </w:pPr>
      <w:r>
        <w:t>Vehicles With Batteries Installed: the New UN Numbers</w:t>
      </w:r>
    </w:p>
    <w:p>
      <w:r>
        <w:t xml:space="preserve">Under 42-24, </w:t>
      </w:r>
      <w:r>
        <w:rPr>
          <w:b/>
        </w:rPr>
        <w:t>battery-powered vehicles transported with their batteries installed</w:t>
      </w:r>
      <w:r>
        <w:t xml:space="preserve"> are classified by chemistry:</w:t>
      </w:r>
    </w:p>
    <w:tbl>
      <w:tblPr>
        <w:tblStyle w:val="TableGrid"/>
        <w:tblW w:type="auto" w:w="0"/>
        <w:tblLook w:firstColumn="1" w:firstRow="1" w:lastColumn="0" w:lastRow="0" w:noHBand="0" w:noVBand="1" w:val="04A0"/>
      </w:tblPr>
      <w:tblGrid>
        <w:gridCol w:w="4320"/>
        <w:gridCol w:w="4320"/>
      </w:tblGrid>
      <w:tr>
        <w:tc>
          <w:tcPr>
            <w:tcW w:type="dxa" w:w="4320"/>
            <w:shd w:val="clear" w:fill="EAF0F6"/>
          </w:tcPr>
          <w:p>
            <w:r>
              <w:rPr>
                <w:b/>
                <w:sz w:val="20"/>
              </w:rPr>
            </w:r>
            <w:r>
              <w:rPr>
                <w:b/>
                <w:sz w:val="20"/>
              </w:rPr>
              <w:t>UN number</w:t>
            </w:r>
          </w:p>
        </w:tc>
        <w:tc>
          <w:tcPr>
            <w:tcW w:type="dxa" w:w="4320"/>
            <w:shd w:val="clear" w:fill="EAF0F6"/>
          </w:tcPr>
          <w:p>
            <w:r>
              <w:rPr>
                <w:b/>
                <w:sz w:val="20"/>
              </w:rPr>
            </w:r>
            <w:r>
              <w:rPr>
                <w:b/>
                <w:sz w:val="20"/>
              </w:rPr>
              <w:t>Vehicle type</w:t>
            </w:r>
          </w:p>
        </w:tc>
      </w:tr>
      <w:tr>
        <w:tc>
          <w:tcPr>
            <w:tcW w:type="dxa" w:w="4320"/>
          </w:tcPr>
          <w:p>
            <w:r>
              <w:rPr>
                <w:sz w:val="20"/>
              </w:rPr>
            </w:r>
            <w:r>
              <w:rPr>
                <w:b/>
                <w:sz w:val="20"/>
              </w:rPr>
              <w:t>UN3556</w:t>
            </w:r>
          </w:p>
        </w:tc>
        <w:tc>
          <w:tcPr>
            <w:tcW w:type="dxa" w:w="4320"/>
          </w:tcPr>
          <w:p>
            <w:r>
              <w:rPr>
                <w:sz w:val="20"/>
              </w:rPr>
            </w:r>
            <w:r>
              <w:rPr>
                <w:b/>
                <w:sz w:val="20"/>
              </w:rPr>
              <w:t>Lithium-ion-battery-powered</w:t>
            </w:r>
            <w:r>
              <w:rPr>
                <w:sz w:val="20"/>
              </w:rPr>
              <w:t xml:space="preserve"> vehicle (the mainstream BEV/PHEV case)</w:t>
            </w:r>
          </w:p>
        </w:tc>
      </w:tr>
      <w:tr>
        <w:tc>
          <w:tcPr>
            <w:tcW w:type="dxa" w:w="4320"/>
          </w:tcPr>
          <w:p>
            <w:r>
              <w:rPr>
                <w:sz w:val="20"/>
              </w:rPr>
            </w:r>
            <w:r>
              <w:rPr>
                <w:b/>
                <w:sz w:val="20"/>
              </w:rPr>
              <w:t>UN3557</w:t>
            </w:r>
          </w:p>
        </w:tc>
        <w:tc>
          <w:tcPr>
            <w:tcW w:type="dxa" w:w="4320"/>
          </w:tcPr>
          <w:p>
            <w:r>
              <w:rPr>
                <w:sz w:val="20"/>
              </w:rPr>
            </w:r>
            <w:r>
              <w:rPr>
                <w:b/>
                <w:sz w:val="20"/>
              </w:rPr>
              <w:t>Lithium-metal-battery-powered</w:t>
            </w:r>
            <w:r>
              <w:rPr>
                <w:sz w:val="20"/>
              </w:rPr>
              <w:t xml:space="preserve"> vehicle</w:t>
            </w:r>
          </w:p>
        </w:tc>
      </w:tr>
      <w:tr>
        <w:tc>
          <w:tcPr>
            <w:tcW w:type="dxa" w:w="4320"/>
          </w:tcPr>
          <w:p>
            <w:r>
              <w:rPr>
                <w:sz w:val="20"/>
              </w:rPr>
            </w:r>
            <w:r>
              <w:rPr>
                <w:b/>
                <w:sz w:val="20"/>
              </w:rPr>
              <w:t>UN3558</w:t>
            </w:r>
          </w:p>
        </w:tc>
        <w:tc>
          <w:tcPr>
            <w:tcW w:type="dxa" w:w="4320"/>
          </w:tcPr>
          <w:p>
            <w:r>
              <w:rPr>
                <w:sz w:val="20"/>
              </w:rPr>
            </w:r>
            <w:r>
              <w:rPr>
                <w:b/>
                <w:sz w:val="20"/>
              </w:rPr>
              <w:t>Sodium-ion-battery-powered</w:t>
            </w:r>
            <w:r>
              <w:rPr>
                <w:sz w:val="20"/>
              </w:rPr>
              <w:t xml:space="preserve"> vehicle</w:t>
            </w:r>
          </w:p>
        </w:tc>
      </w:tr>
    </w:tbl>
    <w:p>
      <w:r>
        <w:t xml:space="preserve">A new </w:t>
      </w:r>
      <w:r>
        <w:rPr>
          <w:b/>
        </w:rPr>
        <w:t>packing instruction P912</w:t>
      </w:r>
      <w:r>
        <w:t xml:space="preserve"> governs stowage and securing for these vehicles. Where a UN3556 vehicle is </w:t>
      </w:r>
      <w:r>
        <w:rPr>
          <w:b/>
        </w:rPr>
        <w:t>not fully enclosed</w:t>
      </w:r>
      <w:r>
        <w:t xml:space="preserve"> in packaging/crates, special provision </w:t>
      </w:r>
      <w:r>
        <w:rPr>
          <w:b/>
        </w:rPr>
        <w:t>SP405</w:t>
      </w:r>
      <w:r>
        <w:t xml:space="preserve"> sets the marking requirements.</w:t>
      </w:r>
    </w:p>
    <w:p>
      <w:pPr>
        <w:pStyle w:val="Heading1"/>
      </w:pPr>
      <w:r>
        <w:t>What Happened to UN3171</w:t>
      </w:r>
    </w:p>
    <w:p>
      <w:r>
        <w:t xml:space="preserve">The old </w:t>
      </w:r>
      <w:r>
        <w:rPr>
          <w:b/>
        </w:rPr>
        <w:t>UN3171</w:t>
      </w:r>
      <w:r>
        <w:t xml:space="preserve"> entry has been </w:t>
      </w:r>
      <w:r>
        <w:rPr>
          <w:b/>
        </w:rPr>
        <w:t>narrowed in scope</w:t>
      </w:r>
      <w:r>
        <w:t xml:space="preserve">: it now covers only vehicles/equipment powered by </w:t>
      </w:r>
      <w:r>
        <w:rPr>
          <w:b/>
        </w:rPr>
        <w:t>wet batteries, sodium-metal or sodium-alloy batteries</w:t>
      </w:r>
      <w:r>
        <w:t xml:space="preserve">. Mainstream </w:t>
      </w:r>
      <w:r>
        <w:rPr>
          <w:b/>
        </w:rPr>
        <w:t>lithium vehicles must no longer be declared under UN3171</w:t>
      </w:r>
      <w:r>
        <w:t xml:space="preserve"> from the 2026 mandatory date. Declaring a modern BEV as UN3171 is an outdated classification and a declaration error. (UN3556 is the </w:t>
      </w:r>
      <w:r>
        <w:rPr>
          <w:i/>
        </w:rPr>
        <w:t>installed-vehicle</w:t>
      </w:r>
      <w:r>
        <w:t xml:space="preserve"> entry — it is not a "damaged/defective battery" classification; damaged/defective batteries follow separate provisions.)</w:t>
      </w:r>
    </w:p>
    <w:p>
      <w:pPr>
        <w:pStyle w:val="Heading1"/>
      </w:pPr>
      <w:r>
        <w:t>Spare and Loose Batteries Are a Different Track</w:t>
      </w:r>
    </w:p>
    <w:p>
      <w:r>
        <w:t xml:space="preserve">A traction battery shipped </w:t>
      </w:r>
      <w:r>
        <w:rPr>
          <w:b/>
        </w:rPr>
        <w:t>separately from the vehicle</w:t>
      </w:r>
      <w:r>
        <w:t xml:space="preserve"> does not use the vehicle UN number:</w:t>
      </w:r>
    </w:p>
    <w:p>
      <w:pPr>
        <w:pStyle w:val="ListBullet"/>
      </w:pPr>
      <w:r>
        <w:rPr>
          <w:b/>
        </w:rPr>
        <w:t>UN3480</w:t>
      </w:r>
      <w:r>
        <w:t xml:space="preserve"> — </w:t>
      </w:r>
      <w:r>
        <w:rPr>
          <w:b/>
        </w:rPr>
        <w:t>lithium-ion batteries shipped loose/alone</w:t>
      </w:r>
      <w:r>
        <w:t>.</w:t>
      </w:r>
    </w:p>
    <w:p>
      <w:pPr>
        <w:pStyle w:val="ListBullet"/>
      </w:pPr>
      <w:r>
        <w:rPr>
          <w:b/>
        </w:rPr>
        <w:t>UN3481</w:t>
      </w:r>
      <w:r>
        <w:t xml:space="preserve"> — lithium-ion batteries </w:t>
      </w:r>
      <w:r>
        <w:rPr>
          <w:b/>
        </w:rPr>
        <w:t>packed with, or contained in, equipment</w:t>
      </w:r>
      <w:r>
        <w:t>.</w:t>
      </w:r>
    </w:p>
    <w:p>
      <w:r>
        <w:t>Spare traction packs, service batteries and power banks follow the 3480/3481 track with their own packing/labelling, not UN3556.</w:t>
      </w:r>
    </w:p>
    <w:p>
      <w:pPr>
        <w:pStyle w:val="Heading1"/>
      </w:pPr>
      <w:r>
        <w:t>The UN38.3 Test Framework</w:t>
      </w:r>
    </w:p>
    <w:p>
      <w:r>
        <w:t xml:space="preserve">Lithium batteries offered for transport must have passed the tests in </w:t>
      </w:r>
      <w:r>
        <w:rPr>
          <w:b/>
        </w:rPr>
        <w:t>Section 38.3 of the UN *Manual of Tests and Criteria* (UN38.3)</w:t>
      </w:r>
      <w:r>
        <w:t xml:space="preserve"> and carry a </w:t>
      </w:r>
      <w:r>
        <w:rPr>
          <w:b/>
        </w:rPr>
        <w:t>test summary</w:t>
      </w:r>
      <w:r>
        <w:t xml:space="preserve"> — a defined set of tests covering electrical, mechanical and environmental abuse. For an NEV export the UN38.3 summary is part of the battery paperwork that travels with the shipment (see the document-package guide). The UN Manual primary text should be cited for formal regulatory wording; this page describes the framework.</w:t>
      </w:r>
    </w:p>
    <w:p>
      <w:pPr>
        <w:pStyle w:val="Heading1"/>
      </w:pPr>
      <w:r>
        <w:t>State of Charge and Carrier Layer</w:t>
      </w:r>
    </w:p>
    <w:p>
      <w:r>
        <w:t xml:space="preserve">The IMDG sets the regulatory floor, but </w:t>
      </w:r>
      <w:r>
        <w:rPr>
          <w:b/>
        </w:rPr>
        <w:t>state-of-charge and quantity/condition limits also depend on the IMDG text and the individual carrier's acceptance rules</w:t>
      </w:r>
      <w:r>
        <w:t xml:space="preserve">. This guide deliberately gives </w:t>
      </w:r>
      <w:r>
        <w:rPr>
          <w:b/>
        </w:rPr>
        <w:t>no fixed SOC percentage</w:t>
      </w:r>
      <w:r>
        <w:t xml:space="preserve">: an unverified universal number is exactly the kind of value that drifts between amendments and carriers. Obtain the operative SOC/condition requirement from the </w:t>
      </w:r>
      <w:r>
        <w:rPr>
          <w:b/>
        </w:rPr>
        <w:t>carrier's booking acceptance for that voyage</w:t>
      </w:r>
      <w:r>
        <w:t xml:space="preserve">, on top of 42-24. Carriers may impose stricter terms than the Code minimum; </w:t>
      </w:r>
      <w:r>
        <w:rPr>
          <w:b/>
        </w:rPr>
        <w:t>damaged or defective</w:t>
      </w:r>
      <w:r>
        <w:t xml:space="preserve"> batteries have their own stricter regime.</w:t>
      </w:r>
    </w:p>
    <w:p>
      <w:pPr>
        <w:pStyle w:val="Heading1"/>
      </w:pPr>
      <w:r>
        <w:t>Declaration Workflow We Recommend</w:t>
      </w:r>
    </w:p>
    <w:p>
      <w:pPr>
        <w:pStyle w:val="ListNumber"/>
      </w:pPr>
      <w:r>
        <w:t xml:space="preserve">Identify </w:t>
      </w:r>
      <w:r>
        <w:rPr>
          <w:b/>
        </w:rPr>
        <w:t>installed vehicle vs loose battery</w:t>
      </w:r>
      <w:r>
        <w:t xml:space="preserve"> → UN3556/3557/3558 vs UN3480/3481.</w:t>
      </w:r>
    </w:p>
    <w:p>
      <w:pPr>
        <w:pStyle w:val="ListNumber"/>
      </w:pPr>
      <w:r>
        <w:t xml:space="preserve">Confirm </w:t>
      </w:r>
      <w:r>
        <w:rPr>
          <w:b/>
        </w:rPr>
        <w:t>chemistry</w:t>
      </w:r>
      <w:r>
        <w:t xml:space="preserve"> (lithium-ion / lithium-metal / sodium-ion).</w:t>
      </w:r>
    </w:p>
    <w:p>
      <w:pPr>
        <w:pStyle w:val="ListNumber"/>
      </w:pPr>
      <w:r>
        <w:t xml:space="preserve">Apply </w:t>
      </w:r>
      <w:r>
        <w:rPr>
          <w:b/>
        </w:rPr>
        <w:t>P912</w:t>
      </w:r>
      <w:r>
        <w:t xml:space="preserve"> (and SP405 marking if not fully enclosed).</w:t>
      </w:r>
    </w:p>
    <w:p>
      <w:pPr>
        <w:pStyle w:val="ListNumber"/>
      </w:pPr>
      <w:r>
        <w:t xml:space="preserve">Attach </w:t>
      </w:r>
      <w:r>
        <w:rPr>
          <w:b/>
        </w:rPr>
        <w:t>UN38.3 test summary</w:t>
      </w:r>
      <w:r>
        <w:t xml:space="preserve"> and required DG documents; MSDS where applicable.</w:t>
      </w:r>
    </w:p>
    <w:p>
      <w:pPr>
        <w:pStyle w:val="ListNumber"/>
      </w:pPr>
      <w:r>
        <w:t xml:space="preserve">Obtain the </w:t>
      </w:r>
      <w:r>
        <w:rPr>
          <w:b/>
        </w:rPr>
        <w:t>carrier-specific</w:t>
      </w:r>
      <w:r>
        <w:t xml:space="preserve"> SOC/condition acceptance before booking.</w:t>
      </w:r>
    </w:p>
    <w:p>
      <w:pPr>
        <w:pStyle w:val="Heading1"/>
      </w:pPr>
      <w:r>
        <w:t>Boundaries of This Guide</w:t>
      </w:r>
    </w:p>
    <w:p>
      <w:pPr>
        <w:pStyle w:val="ListBullet"/>
      </w:pPr>
      <w:r>
        <w:t>No fixed SOC percentage or quantity limit is stated without an official/carrier source.</w:t>
      </w:r>
    </w:p>
    <w:p>
      <w:pPr>
        <w:pStyle w:val="ListBullet"/>
      </w:pPr>
      <w:r>
        <w:t>The English primary IMDG/UN Manual URLs remain to be added for formal citation; the version, resolution and effective date are anchored to the MSA official Chinese text.</w:t>
      </w:r>
    </w:p>
    <w:p>
      <w:pPr>
        <w:pStyle w:val="Heading1"/>
      </w:pPr>
      <w:r>
        <w:t>Frequently Asked Questions</w:t>
      </w:r>
    </w:p>
    <w:p>
      <w:r>
        <w:rPr>
          <w:b/>
        </w:rPr>
        <w:t>What UN number is a lithium-ion electric car under current rules?</w:t>
      </w:r>
      <w:r>
        <w:t xml:space="preserve"> UN3556 when transported with its lithium-ion battery installed, under IMDG 42-24. </w:t>
      </w:r>
      <w:r>
        <w:rPr>
          <w:b/>
        </w:rPr>
        <w:t>Can I still use UN3171 for a BEV?</w:t>
      </w:r>
      <w:r>
        <w:t xml:space="preserve"> No — UN3171 is narrowed to wet/sodium-metal/sodium-alloy battery vehicles; lithium vehicles use UN3556–3558. </w:t>
      </w:r>
      <w:r>
        <w:rPr>
          <w:b/>
        </w:rPr>
        <w:t>What about a spare battery shipped separately?</w:t>
      </w:r>
      <w:r>
        <w:t xml:space="preserve"> Loose lithium-ion batteries are UN3480 (or UN3481 when packed with/in equipment), not UN3556. </w:t>
      </w:r>
      <w:r>
        <w:rPr>
          <w:b/>
        </w:rPr>
        <w:t>Is there a universal shipping SOC?</w:t>
      </w:r>
      <w:r>
        <w:t xml:space="preserve"> No — apply the IMDG text plus the specific carrier's voyage acceptance; do not rely on a fixed percentage.</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IMDG Code Amendment 42-24 official Chinese text</w:t>
            </w:r>
          </w:p>
        </w:tc>
        <w:tc>
          <w:tcPr>
            <w:tcW w:type="dxa" w:w="1234"/>
          </w:tcPr>
          <w:p>
            <w:r>
              <w:rPr>
                <w:sz w:val="20"/>
              </w:rPr>
            </w:r>
            <w:r>
              <w:rPr>
                <w:sz w:val="20"/>
              </w:rPr>
              <w:t>China Maritime Safety Administration</w:t>
            </w:r>
          </w:p>
        </w:tc>
        <w:tc>
          <w:tcPr>
            <w:tcW w:type="dxa" w:w="1234"/>
          </w:tcPr>
          <w:p>
            <w:r>
              <w:rPr>
                <w:sz w:val="20"/>
              </w:rPr>
            </w:r>
            <w:r>
              <w:rPr>
                <w:sz w:val="20"/>
              </w:rPr>
              <w:t>INTL/CN enforcement</w:t>
            </w:r>
          </w:p>
        </w:tc>
        <w:tc>
          <w:tcPr>
            <w:tcW w:type="dxa" w:w="1234"/>
          </w:tcPr>
          <w:p>
            <w:r>
              <w:rPr>
                <w:sz w:val="20"/>
              </w:rPr>
            </w:r>
            <w:r>
              <w:rPr>
                <w:sz w:val="20"/>
              </w:rPr>
              <w:t>https://www.msa.gov.cn/public/documents/document/mdiw/mjqw/~edisp/20251201020240683.pdf</w:t>
            </w:r>
          </w:p>
        </w:tc>
        <w:tc>
          <w:tcPr>
            <w:tcW w:type="dxa" w:w="1234"/>
          </w:tcPr>
          <w:p>
            <w:r>
              <w:rPr>
                <w:sz w:val="20"/>
              </w:rPr>
            </w:r>
            <w:r>
              <w:rPr>
                <w:sz w:val="20"/>
              </w:rPr>
              <w:t>2026-09-04</w:t>
            </w:r>
          </w:p>
        </w:tc>
        <w:tc>
          <w:tcPr>
            <w:tcW w:type="dxa" w:w="1234"/>
          </w:tcPr>
          <w:p>
            <w:r>
              <w:rPr>
                <w:sz w:val="20"/>
              </w:rPr>
            </w:r>
            <w:r>
              <w:rPr>
                <w:sz w:val="20"/>
              </w:rPr>
              <w:t>VERIFIED</w:t>
            </w:r>
          </w:p>
        </w:tc>
        <w:tc>
          <w:tcPr>
            <w:tcW w:type="dxa" w:w="1234"/>
          </w:tcPr>
          <w:p>
            <w:r>
              <w:rPr>
                <w:sz w:val="20"/>
              </w:rPr>
            </w:r>
            <w:r>
              <w:rPr>
                <w:sz w:val="20"/>
              </w:rPr>
              <w:t>42-24 version, MSC.556(108), effective date, P912</w:t>
            </w:r>
          </w:p>
        </w:tc>
      </w:tr>
      <w:tr>
        <w:tc>
          <w:tcPr>
            <w:tcW w:type="dxa" w:w="1234"/>
          </w:tcPr>
          <w:p>
            <w:r>
              <w:rPr>
                <w:sz w:val="20"/>
              </w:rPr>
            </w:r>
            <w:r>
              <w:rPr>
                <w:sz w:val="20"/>
              </w:rPr>
              <w:t>IMDG 42-24 interpretation: MSC.556(108), effective in China 2026-01-01</w:t>
            </w:r>
          </w:p>
        </w:tc>
        <w:tc>
          <w:tcPr>
            <w:tcW w:type="dxa" w:w="1234"/>
          </w:tcPr>
          <w:p>
            <w:r>
              <w:rPr>
                <w:sz w:val="20"/>
              </w:rPr>
            </w:r>
            <w:r>
              <w:rPr>
                <w:sz w:val="20"/>
              </w:rPr>
              <w:t>China Maritime (repost)</w:t>
            </w:r>
          </w:p>
        </w:tc>
        <w:tc>
          <w:tcPr>
            <w:tcW w:type="dxa" w:w="1234"/>
          </w:tcPr>
          <w:p>
            <w:r>
              <w:rPr>
                <w:sz w:val="20"/>
              </w:rPr>
            </w:r>
            <w:r>
              <w:rPr>
                <w:sz w:val="20"/>
              </w:rPr>
              <w:t>INTL/CN</w:t>
            </w:r>
          </w:p>
        </w:tc>
        <w:tc>
          <w:tcPr>
            <w:tcW w:type="dxa" w:w="1234"/>
          </w:tcPr>
          <w:p>
            <w:r>
              <w:rPr>
                <w:sz w:val="20"/>
              </w:rPr>
            </w:r>
            <w:r>
              <w:rPr>
                <w:sz w:val="20"/>
              </w:rPr>
              <w:t>http://m.toutiao.com/group/7585883173825921546/</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UN3556-3558, UN3171 narrowing</w:t>
            </w:r>
          </w:p>
        </w:tc>
      </w:tr>
      <w:tr>
        <w:tc>
          <w:tcPr>
            <w:tcW w:type="dxa" w:w="1234"/>
          </w:tcPr>
          <w:p>
            <w:r>
              <w:rPr>
                <w:sz w:val="20"/>
              </w:rPr>
            </w:r>
            <w:r>
              <w:rPr>
                <w:sz w:val="20"/>
              </w:rPr>
              <w:t>UN3556 SP405 marking requirements</w:t>
            </w:r>
          </w:p>
        </w:tc>
        <w:tc>
          <w:tcPr>
            <w:tcW w:type="dxa" w:w="1234"/>
          </w:tcPr>
          <w:p>
            <w:r>
              <w:rPr>
                <w:sz w:val="20"/>
              </w:rPr>
            </w:r>
            <w:r>
              <w:rPr>
                <w:sz w:val="20"/>
              </w:rPr>
              <w:t>Jiupai news (repost)</w:t>
            </w:r>
          </w:p>
        </w:tc>
        <w:tc>
          <w:tcPr>
            <w:tcW w:type="dxa" w:w="1234"/>
          </w:tcPr>
          <w:p>
            <w:r>
              <w:rPr>
                <w:sz w:val="20"/>
              </w:rPr>
            </w:r>
            <w:r>
              <w:rPr>
                <w:sz w:val="20"/>
              </w:rPr>
              <w:t>INTL</w:t>
            </w:r>
          </w:p>
        </w:tc>
        <w:tc>
          <w:tcPr>
            <w:tcW w:type="dxa" w:w="1234"/>
          </w:tcPr>
          <w:p>
            <w:r>
              <w:rPr>
                <w:sz w:val="20"/>
              </w:rPr>
            </w:r>
            <w:r>
              <w:rPr>
                <w:sz w:val="20"/>
              </w:rPr>
              <w:t>http://m.toutiao.com/group/7598735209990734370/</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SP405</w:t>
            </w:r>
          </w:p>
        </w:tc>
      </w:tr>
      <w:tr>
        <w:tc>
          <w:tcPr>
            <w:tcW w:type="dxa" w:w="1234"/>
          </w:tcPr>
          <w:p>
            <w:r>
              <w:rPr>
                <w:sz w:val="20"/>
              </w:rPr>
            </w:r>
            <w:r>
              <w:rPr>
                <w:sz w:val="20"/>
              </w:rPr>
              <w:t>UN38.3 eight tests and lithium-battery qualification</w:t>
            </w:r>
          </w:p>
        </w:tc>
        <w:tc>
          <w:tcPr>
            <w:tcW w:type="dxa" w:w="1234"/>
          </w:tcPr>
          <w:p>
            <w:r>
              <w:rPr>
                <w:sz w:val="20"/>
              </w:rPr>
            </w:r>
            <w:r>
              <w:rPr>
                <w:sz w:val="20"/>
              </w:rPr>
              <w:t>Sohu industry</w:t>
            </w:r>
          </w:p>
        </w:tc>
        <w:tc>
          <w:tcPr>
            <w:tcW w:type="dxa" w:w="1234"/>
          </w:tcPr>
          <w:p>
            <w:r>
              <w:rPr>
                <w:sz w:val="20"/>
              </w:rPr>
            </w:r>
            <w:r>
              <w:rPr>
                <w:sz w:val="20"/>
              </w:rPr>
              <w:t>INTL</w:t>
            </w:r>
          </w:p>
        </w:tc>
        <w:tc>
          <w:tcPr>
            <w:tcW w:type="dxa" w:w="1234"/>
          </w:tcPr>
          <w:p>
            <w:r>
              <w:rPr>
                <w:sz w:val="20"/>
              </w:rPr>
            </w:r>
            <w:r>
              <w:rPr>
                <w:sz w:val="20"/>
              </w:rPr>
              <w:t>https://m.sohu.com/a/1061511601_122947050/</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UN38.3 framework</w:t>
            </w:r>
          </w:p>
        </w:tc>
      </w:tr>
      <w:tr>
        <w:tc>
          <w:tcPr>
            <w:tcW w:type="dxa" w:w="1234"/>
          </w:tcPr>
          <w:p>
            <w:r>
              <w:rPr>
                <w:sz w:val="20"/>
              </w:rPr>
            </w:r>
            <w:r>
              <w:rPr>
                <w:sz w:val="20"/>
              </w:rPr>
              <w:t>Loose lithium battery UN3480/3481 and sodium numbering</w:t>
            </w:r>
          </w:p>
        </w:tc>
        <w:tc>
          <w:tcPr>
            <w:tcW w:type="dxa" w:w="1234"/>
          </w:tcPr>
          <w:p>
            <w:r>
              <w:rPr>
                <w:sz w:val="20"/>
              </w:rPr>
            </w:r>
            <w:r>
              <w:rPr>
                <w:sz w:val="20"/>
              </w:rPr>
              <w:t>11467 industry</w:t>
            </w:r>
          </w:p>
        </w:tc>
        <w:tc>
          <w:tcPr>
            <w:tcW w:type="dxa" w:w="1234"/>
          </w:tcPr>
          <w:p>
            <w:r>
              <w:rPr>
                <w:sz w:val="20"/>
              </w:rPr>
            </w:r>
            <w:r>
              <w:rPr>
                <w:sz w:val="20"/>
              </w:rPr>
              <w:t>INTL</w:t>
            </w:r>
          </w:p>
        </w:tc>
        <w:tc>
          <w:tcPr>
            <w:tcW w:type="dxa" w:w="1234"/>
          </w:tcPr>
          <w:p>
            <w:r>
              <w:rPr>
                <w:sz w:val="20"/>
              </w:rPr>
            </w:r>
            <w:r>
              <w:rPr>
                <w:sz w:val="20"/>
              </w:rPr>
              <w:t>https://m.11467.com/product/d49266269.htm</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3480/3481 distinction</w:t>
            </w:r>
          </w:p>
        </w:tc>
      </w:tr>
    </w:tbl>
    <w:p>
      <w:r>
        <w:rPr>
          <w:i/>
        </w:rPr>
        <w:t>Confidence note: version/resolution/effective date VERIFIED via MSA; SP405, UN38.3 detail and loose-battery numbering are single-source; no unverified SOC number stated; English primary texts to be added.</w:t>
      </w:r>
    </w:p>
    <w:p>
      <w:pPr>
        <w:pStyle w:val="Heading1"/>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2026-09-04</w:t>
      </w:r>
    </w:p>
    <w:p>
      <w:pPr>
        <w:pStyle w:val="ListBullet"/>
      </w:pPr>
      <w:r>
        <w:rPr>
          <w:b/>
        </w:rPr>
        <w:t>Reference market</w:t>
      </w:r>
      <w:r>
        <w:t>: International IMDG with China MSA enforcement (carrier layer voyage-specific)</w:t>
      </w:r>
    </w:p>
    <w:p>
      <w:pPr>
        <w:pStyle w:val="ListBullet"/>
      </w:pPr>
      <w:r>
        <w:rPr>
          <w:b/>
        </w:rPr>
        <w:t>Verification method</w:t>
      </w:r>
      <w:r>
        <w:t>: Official MSA version anchor; current classification applied; fixed SOC withheld</w:t>
      </w:r>
    </w:p>
    <w:p>
      <w:pPr>
        <w:pStyle w:val="ListBullet"/>
      </w:pPr>
      <w:r>
        <w:rPr>
          <w:b/>
        </w:rPr>
        <w:t>Quality gates</w:t>
      </w:r>
      <w:r>
        <w:t>: EDITORIAL_QA_PASS=PASS · FACT_SOURCE_PASS=PASS · SEO_PASS=PASS · CODEX_REVIEW_PASS=PENDING · PUBLISH_APPROVED=FALSE until independent sign-off</w:t>
      </w:r>
    </w:p>
    <w:p>
      <w:r>
        <w:rPr>
          <w:b/>
        </w:rPr>
        <w:t>Tags</w:t>
      </w:r>
      <w:r>
        <w:t>: #IMDG4224 #UN3556 #UN3480 #UN383 #EVShipping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