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Export Vehicle Document Package: Manufacturer Certificate, CoC, Spec Sheet and Chassis Papers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Export Vehicle Document Package Guide — Certificate, CoC, Spec Sheet</w:t>
      </w:r>
    </w:p>
    <w:p>
      <w:pPr>
        <w:pStyle w:val="ListBullet"/>
      </w:pPr>
      <w:r>
        <w:rPr>
          <w:b/>
        </w:rPr>
        <w:t>Meta Description</w:t>
      </w:r>
      <w:r>
        <w:t>: Which documents a Chinese factory/exporter must provide with an exported vehicle — manufacturer certificate, certificate of conformity, spec sheet, chassis papers, NEV battery paperwork, and what needs translating for overseas registration.</w:t>
      </w:r>
    </w:p>
    <w:p>
      <w:pPr>
        <w:pStyle w:val="ListBullet"/>
      </w:pPr>
      <w:r>
        <w:rPr>
          <w:b/>
        </w:rPr>
        <w:t>Suggested URL</w:t>
      </w:r>
      <w:r>
        <w:t>: /guides/export-vehicle-document-package</w:t>
      </w:r>
    </w:p>
    <w:p>
      <w:pPr>
        <w:pStyle w:val="ListBullet"/>
      </w:pPr>
      <w:r>
        <w:rPr>
          <w:b/>
        </w:rPr>
        <w:t>H1</w:t>
      </w:r>
      <w:r>
        <w:t>: Assembling the Document Package for an Exported Chinese Vehicle</w:t>
      </w:r>
    </w:p>
    <w:p>
      <w:pPr>
        <w:pStyle w:val="ListBullet"/>
      </w:pPr>
      <w:r>
        <w:rPr>
          <w:b/>
        </w:rPr>
        <w:t>Primary Keyword</w:t>
      </w:r>
      <w:r>
        <w:t>: export vehicle document package coc certificate spec sheet</w:t>
      </w:r>
    </w:p>
    <w:p>
      <w:pPr>
        <w:pStyle w:val="ListBullet"/>
      </w:pPr>
      <w:r>
        <w:rPr>
          <w:b/>
        </w:rPr>
        <w:t>Secondary Search Terms</w:t>
      </w:r>
      <w:r>
        <w:t>: Chinese vehicle manufacturer certificate, 整车出厂合格证, certificate of conformity export, chassis certificate, NEV UN38.3 documents</w:t>
      </w:r>
    </w:p>
    <w:p>
      <w:pPr>
        <w:pStyle w:val="ListBullet"/>
      </w:pPr>
      <w:r>
        <w:rPr>
          <w:b/>
        </w:rPr>
        <w:t>Internal Link Suggestions</w:t>
      </w:r>
      <w:r>
        <w:t>: /guides/vehicle-vin-wmi-nameplate-compliance/ ; /guides/ev-battery-shipping-imdg-42-24/ ; /guides/china-export-certificate-of-origin/</w:t>
      </w:r>
    </w:p>
    <w:p>
      <w:pPr>
        <w:pStyle w:val="ListBullet"/>
      </w:pPr>
      <w:r>
        <w:rPr>
          <w:b/>
        </w:rPr>
        <w:t>Image Suggestions</w:t>
      </w:r>
      <w:r>
        <w:t>: document-package stack; ICE vs NEV document split; translation/stamp flow</w:t>
      </w:r>
    </w:p>
    <w:p>
      <w:pPr>
        <w:pStyle w:val="ListBullet"/>
      </w:pPr>
      <w:r>
        <w:rPr>
          <w:b/>
        </w:rPr>
        <w:t>ALT Suggestions</w:t>
      </w:r>
      <w:r>
        <w:t>: "Export vehicle document package certificate CoC spec sheet"</w:t>
      </w:r>
    </w:p>
    <w:p>
      <w:pPr>
        <w:pStyle w:val="Heading1"/>
      </w:pPr>
      <w:r>
        <w:t>Why a Missing Paper Outweighs a Missing Option</w:t>
      </w:r>
    </w:p>
    <w:p>
      <w:r>
        <w:t xml:space="preserve">A vehicle can be repaired at destination; a missing or mismatched document often cannot be fixed remotely, and it blocks registration. The exporter's job is to hand over a </w:t>
      </w:r>
      <w:r>
        <w:rPr>
          <w:b/>
        </w:rPr>
        <w:t>complete, internally consistent paper set</w:t>
      </w:r>
      <w:r>
        <w:t xml:space="preserve"> in which the VIN is identical on every document (see the VIN/nameplate guide). This page covers the </w:t>
      </w:r>
      <w:r>
        <w:rPr>
          <w:b/>
        </w:rPr>
        <w:t>Chinese issuing side</w:t>
      </w:r>
      <w:r>
        <w:t>; whether a destination accepts a Chinese CoC for its own registration is that country's decision and is not assumed here.</w:t>
      </w:r>
    </w:p>
    <w:p>
      <w:pPr>
        <w:pStyle w:val="Heading1"/>
      </w:pPr>
      <w:r>
        <w:t>The Core Manufacturer Document</w:t>
      </w:r>
    </w:p>
    <w:p>
      <w:r>
        <w:t xml:space="preserve">The </w:t>
      </w:r>
      <w:r>
        <w:rPr>
          <w:b/>
        </w:rPr>
        <w:t>Manufacturer Certificate of Completion (机动车整车出厂合格证)</w:t>
      </w:r>
      <w:r>
        <w:t xml:space="preserve"> is the central proof that the vehicle left the factory conforming to standards; it is issued by the manufacturer and its format is filed with the competent authority (the GB 21085 standard framework governs the certificate). For vehicles completed from an </w:t>
      </w:r>
      <w:r>
        <w:rPr>
          <w:b/>
        </w:rPr>
        <w:t>imported incomplete vehicle or via multi-stage manufacture</w:t>
      </w:r>
      <w:r>
        <w:t>, the completion certificate is still the single whole-vehicle certificate issued at final completion; a vehicle sold only domestically carries an imported-vehicle technical parameter sheet instead.</w:t>
      </w:r>
    </w:p>
    <w:p>
      <w:pPr>
        <w:pStyle w:val="Heading1"/>
      </w:pPr>
      <w:r>
        <w:t>What the Handover Package Normally Contains</w:t>
      </w:r>
    </w:p>
    <w:p>
      <w:r>
        <w:t>Cross-referencing government procurement delivery terms and full-process export document lists, a vehicle handover typically includes:</w:t>
      </w:r>
    </w:p>
    <w:p>
      <w:pPr>
        <w:pStyle w:val="ListBullet"/>
      </w:pPr>
      <w:r>
        <w:t xml:space="preserve">Full </w:t>
      </w:r>
      <w:r>
        <w:rPr>
          <w:b/>
        </w:rPr>
        <w:t>sales invoice</w:t>
      </w:r>
    </w:p>
    <w:p>
      <w:pPr>
        <w:pStyle w:val="ListBullet"/>
      </w:pPr>
      <w:r>
        <w:t xml:space="preserve">(Domestic-manufactured) </w:t>
      </w:r>
      <w:r>
        <w:rPr>
          <w:b/>
        </w:rPr>
        <w:t>manufacturer certificate</w:t>
      </w:r>
    </w:p>
    <w:p>
      <w:pPr>
        <w:pStyle w:val="ListBullet"/>
      </w:pPr>
      <w:r>
        <w:rPr>
          <w:b/>
        </w:rPr>
        <w:t>Commodity inspection</w:t>
      </w:r>
      <w:r>
        <w:t xml:space="preserve"> document where applicable</w:t>
      </w:r>
    </w:p>
    <w:p>
      <w:pPr>
        <w:pStyle w:val="ListBullet"/>
      </w:pPr>
      <w:r>
        <w:rPr>
          <w:b/>
        </w:rPr>
        <w:t>Certificate of conformity (CoC) / consistency certificate</w:t>
      </w:r>
    </w:p>
    <w:p>
      <w:pPr>
        <w:pStyle w:val="ListBullet"/>
      </w:pPr>
      <w:r>
        <w:rPr>
          <w:b/>
        </w:rPr>
        <w:t>Warranty (three-guarantee) certificate</w:t>
      </w:r>
    </w:p>
    <w:p>
      <w:pPr>
        <w:pStyle w:val="ListBullet"/>
      </w:pPr>
      <w:r>
        <w:rPr>
          <w:b/>
        </w:rPr>
        <w:t>Maintenance/service manual</w:t>
      </w:r>
      <w:r>
        <w:t xml:space="preserve"> and </w:t>
      </w:r>
      <w:r>
        <w:rPr>
          <w:b/>
        </w:rPr>
        <w:t>owner's manual</w:t>
      </w:r>
    </w:p>
    <w:p>
      <w:pPr>
        <w:pStyle w:val="ListBullet"/>
      </w:pPr>
      <w:r>
        <w:rPr>
          <w:b/>
        </w:rPr>
        <w:t>On-board tools and spare-parts list</w:t>
      </w:r>
    </w:p>
    <w:p>
      <w:r>
        <w:t xml:space="preserve">For </w:t>
      </w:r>
      <w:r>
        <w:rPr>
          <w:b/>
        </w:rPr>
        <w:t>new-car export sales</w:t>
      </w:r>
      <w:r>
        <w:t xml:space="preserve">, the domestic registration stage additionally retains the </w:t>
      </w:r>
      <w:r>
        <w:rPr>
          <w:b/>
        </w:rPr>
        <w:t>manufacturer's safety/technical inspection certificate (original)</w:t>
      </w:r>
      <w:r>
        <w:t xml:space="preserve"> and a </w:t>
      </w:r>
      <w:r>
        <w:rPr>
          <w:b/>
        </w:rPr>
        <w:t>copy of the commerce-authority motor-vehicle export licence</w:t>
      </w:r>
      <w:r>
        <w:t>, per the motor-vehicle registration work rules.</w:t>
      </w:r>
    </w:p>
    <w:p>
      <w:pPr>
        <w:pStyle w:val="Heading1"/>
      </w:pPr>
      <w:r>
        <w:t>NEV Add-Ons</w:t>
      </w:r>
    </w:p>
    <w:p>
      <w:r>
        <w:t>A new-energy vehicle export carries extra dangerous-goods paperwork (linked to the IMDG battery guide):</w:t>
      </w:r>
    </w:p>
    <w:p>
      <w:pPr>
        <w:pStyle w:val="ListBullet"/>
      </w:pPr>
      <w:r>
        <w:rPr>
          <w:b/>
        </w:rPr>
        <w:t>UN38.3 test summary</w:t>
      </w:r>
      <w:r>
        <w:t xml:space="preserve"> for the traction battery</w:t>
      </w:r>
    </w:p>
    <w:p>
      <w:pPr>
        <w:pStyle w:val="ListBullet"/>
      </w:pPr>
      <w:r>
        <w:rPr>
          <w:b/>
        </w:rPr>
        <w:t>Dangerous-goods packaging certificate</w:t>
      </w:r>
      <w:r>
        <w:t xml:space="preserve"> where applicable</w:t>
      </w:r>
    </w:p>
    <w:p>
      <w:pPr>
        <w:pStyle w:val="ListBullet"/>
      </w:pPr>
      <w:r>
        <w:rPr>
          <w:b/>
        </w:rPr>
        <w:t>MSDS</w:t>
      </w:r>
    </w:p>
    <w:p>
      <w:r>
        <w:t>These sit alongside the ordinary vehicle set; an EV delivered with only ICE-style paperwork is incomplete.</w:t>
      </w:r>
    </w:p>
    <w:p>
      <w:pPr>
        <w:pStyle w:val="Heading1"/>
      </w:pPr>
      <w:r>
        <w:t>Commercial and Special Vehicles: the Chassis Paper Trail</w:t>
      </w:r>
    </w:p>
    <w:p>
      <w:r>
        <w:t xml:space="preserve">For trucks, tractors and upfit vehicles (see the Shunda, Tianlong KL and Tianjin KR pages), keep </w:t>
      </w:r>
      <w:r>
        <w:rPr>
          <w:b/>
        </w:rPr>
        <w:t>chassis certificate and completed-vehicle certificate distinct</w:t>
      </w:r>
      <w:r>
        <w:t>:</w:t>
      </w:r>
    </w:p>
    <w:p>
      <w:pPr>
        <w:pStyle w:val="ListBullet"/>
      </w:pPr>
      <w:r>
        <w:t xml:space="preserve">The </w:t>
      </w:r>
      <w:r>
        <w:rPr>
          <w:b/>
        </w:rPr>
        <w:t>chassis maker's</w:t>
      </w:r>
      <w:r>
        <w:t xml:space="preserve"> papers describe the chassis/cab/driveline.</w:t>
      </w:r>
    </w:p>
    <w:p>
      <w:pPr>
        <w:pStyle w:val="ListBullet"/>
      </w:pPr>
      <w:r>
        <w:t xml:space="preserve">The </w:t>
      </w:r>
      <w:r>
        <w:rPr>
          <w:b/>
        </w:rPr>
        <w:t>body builder's</w:t>
      </w:r>
      <w:r>
        <w:t xml:space="preserve"> papers describe the superstructure (e.g., reefer unit, cargo box) and the completed vehicle's GVW/payload.</w:t>
      </w:r>
    </w:p>
    <w:p>
      <w:r>
        <w:t>A reefer or special-purpose vehicle needs both layers; a chassis certificate alone does not describe the finished truck.</w:t>
      </w:r>
    </w:p>
    <w:p>
      <w:pPr>
        <w:pStyle w:val="Heading1"/>
      </w:pPr>
      <w:r>
        <w:t>Translation and Authentication for Overseas Use</w:t>
      </w:r>
    </w:p>
    <w:p>
      <w:r>
        <w:t xml:space="preserve">Overseas customs/registration frequently require the </w:t>
      </w:r>
      <w:r>
        <w:rPr>
          <w:b/>
        </w:rPr>
        <w:t>CoC/spec sheet in English or the destination language, stamped by the issuing party</w:t>
      </w:r>
      <w:r>
        <w:t xml:space="preserve">. Whether </w:t>
      </w:r>
      <w:r>
        <w:rPr>
          <w:b/>
        </w:rPr>
        <w:t>notarization, consular legalization or Apostille</w:t>
      </w:r>
      <w:r>
        <w:t xml:space="preserve"> is additionally required depends on the destination and is checked per country — this guide does not assert a universal requirement, and it does not claim a Chinese CoC is automatically accepted as the destination's registration CoC.</w:t>
      </w:r>
    </w:p>
    <w:p>
      <w:pPr>
        <w:pStyle w:val="Heading1"/>
      </w:pPr>
      <w:r>
        <w:t>Pre-Handover Document Check</w:t>
      </w:r>
    </w:p>
    <w:p>
      <w:pPr>
        <w:pStyle w:val="ListNumber"/>
      </w:pPr>
      <w:r>
        <w:t>Same VIN across certificate, CoC, invoice and shipping papers.</w:t>
      </w:r>
    </w:p>
    <w:p>
      <w:pPr>
        <w:pStyle w:val="ListNumber"/>
      </w:pPr>
      <w:r>
        <w:t>Manufacturer certificate present and matching nameplate (GB 21085 framework).</w:t>
      </w:r>
    </w:p>
    <w:p>
      <w:pPr>
        <w:pStyle w:val="ListNumber"/>
      </w:pPr>
      <w:r>
        <w:t>NEV: UN38.3 summary + DG packaging cert + MSDS.</w:t>
      </w:r>
    </w:p>
    <w:p>
      <w:pPr>
        <w:pStyle w:val="ListNumber"/>
      </w:pPr>
      <w:r>
        <w:t>Commercial: chassis and completed-vehicle layers both present.</w:t>
      </w:r>
    </w:p>
    <w:p>
      <w:pPr>
        <w:pStyle w:val="ListNumber"/>
      </w:pPr>
      <w:r>
        <w:t>Required translated/stamped versions prepared for the destination.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is the most important Chinese factory document?</w:t>
      </w:r>
      <w:r>
        <w:t xml:space="preserve"> The manufacturer certificate of completion (整车出厂合格证), proving the vehicle conforms at factory completion. </w:t>
      </w:r>
      <w:r>
        <w:rPr>
          <w:b/>
        </w:rPr>
        <w:t>Do EVs need extra papers?</w:t>
      </w:r>
      <w:r>
        <w:t xml:space="preserve"> Yes — typically the UN38.3 test summary, a dangerous-goods packaging certificate where applicable and an MSDS. </w:t>
      </w:r>
      <w:r>
        <w:rPr>
          <w:b/>
        </w:rPr>
        <w:t>Is a Chinese CoC automatically accepted abroad for registration?</w:t>
      </w:r>
      <w:r>
        <w:t xml:space="preserve"> Not assumed — destination acceptance is a country-specific matter. </w:t>
      </w:r>
      <w:r>
        <w:rPr>
          <w:b/>
        </w:rPr>
        <w:t>What is different for a truck with an upfit?</w:t>
      </w:r>
      <w:r>
        <w:t xml:space="preserve"> Keep the chassis-maker's papers and the body builder's completed-vehicle/superstructure papers as two layers.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 manufacturer certificate GB21085 (standard text)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MIIT (official PDF)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https://www.miit.gov.cn/cms_files/filemanager/1226211233/attach/20263/dc7eed7956c4470a8fd3f3822ef62618.pdf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Completion certificate, multi-stage rule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 delivery documents (government procurement terms)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Xinyang government procurement 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https://xinyang.zfcg.henan.gov.cn/cmsweb81e27e/nas/webfile2024/nanyang/rootfiles/2026/03/15/1279ff955d2f447c89e3d8cad6013531.pdf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Handover document set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Motor-vehicle registration work rules (new-car export retained files)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Xiantao Municipal Government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https://www.xiantao.gov.cn/ztzl/zcwj1/zc1/202510/t20251029_5800319.shtml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Inspection cert original, export licence copy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Whole-vehicle export full-process document list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NetEase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https://www.163.com/dy/article/KJSNGPO20556820S.html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Package list, NEV extras, translation</w:t>
            </w:r>
          </w:p>
        </w:tc>
      </w:tr>
    </w:tbl>
    <w:p>
      <w:r>
        <w:rPr>
          <w:i/>
        </w:rPr>
        <w:t>Scope note: Chinese issuing side; destination CoC acceptance and legalization requirements are per-country and not generalized.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China document-issuing side (destination registration acceptance excluded)</w:t>
      </w:r>
    </w:p>
    <w:p>
      <w:pPr>
        <w:pStyle w:val="ListBullet"/>
      </w:pPr>
      <w:r>
        <w:rPr>
          <w:b/>
        </w:rPr>
        <w:t>Verification method</w:t>
      </w:r>
      <w:r>
        <w:t>: MIIT/government anchors; chassis vs completed-vehicle layers separated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#ExportDocuments #ManufacturerCertificate #CoC #NEVPaperwork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