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Reading a Vehicle-Export Freight Quote: O/F, THC, DOC, BAF and the Other Line Items Explained (No Made-Up Rates)</w:t>
      </w:r>
    </w:p>
    <w:p>
      <w:pPr>
        <w:pStyle w:val="Heading1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Vehicle Export Shipping Charges Explained — O/F, THC, DOC, BAF</w:t>
      </w:r>
    </w:p>
    <w:p>
      <w:pPr>
        <w:pStyle w:val="ListBullet"/>
      </w:pPr>
      <w:r>
        <w:rPr>
          <w:b/>
        </w:rPr>
        <w:t>Meta Description</w:t>
      </w:r>
      <w:r>
        <w:t>: Understand every line in a freight forwarder quote for vehicle export — ocean freight, terminal handling, documentation, fuel/currency/peak surcharges and manifest fees — and how to verify them without relying on stale numbers.</w:t>
      </w:r>
    </w:p>
    <w:p>
      <w:pPr>
        <w:pStyle w:val="ListBullet"/>
      </w:pPr>
      <w:r>
        <w:rPr>
          <w:b/>
        </w:rPr>
        <w:t>Suggested URL</w:t>
      </w:r>
      <w:r>
        <w:t>: /guides/vehicle-export-shipping-charge-structure</w:t>
      </w:r>
    </w:p>
    <w:p>
      <w:pPr>
        <w:pStyle w:val="ListBullet"/>
      </w:pPr>
      <w:r>
        <w:rPr>
          <w:b/>
        </w:rPr>
        <w:t>H1</w:t>
      </w:r>
      <w:r>
        <w:t>: Anatomy of a Vehicle-Export Freight Quote: What Each Charge Means and How to Check It</w:t>
      </w:r>
    </w:p>
    <w:p>
      <w:pPr>
        <w:pStyle w:val="ListBullet"/>
      </w:pPr>
      <w:r>
        <w:rPr>
          <w:b/>
        </w:rPr>
        <w:t>Primary Keyword</w:t>
      </w:r>
      <w:r>
        <w:t>: vehicle export shipping charge structure thc doc baf</w:t>
      </w:r>
    </w:p>
    <w:p>
      <w:pPr>
        <w:pStyle w:val="ListBullet"/>
      </w:pPr>
      <w:r>
        <w:rPr>
          <w:b/>
        </w:rPr>
        <w:t>Secondary Search Terms</w:t>
      </w:r>
      <w:r>
        <w:t>: ocean freight O/F, terminal handling charge, DOC documentation fee, BAF fuel surcharge, AMS ACI ENS manifest fee, RoRo freight quote</w:t>
      </w:r>
    </w:p>
    <w:p>
      <w:pPr>
        <w:pStyle w:val="ListBullet"/>
      </w:pPr>
      <w:r>
        <w:rPr>
          <w:b/>
        </w:rPr>
        <w:t>Internal Link Suggestions</w:t>
      </w:r>
      <w:r>
        <w:t>: /guides/vehicle-export-bill-of-lading-types/ ; /guides/vehicle-export-pdi-protection/ ; /guides/vehicle-export-hs-code-classification/</w:t>
      </w:r>
    </w:p>
    <w:p>
      <w:pPr>
        <w:pStyle w:val="ListBullet"/>
      </w:pPr>
      <w:r>
        <w:rPr>
          <w:b/>
        </w:rPr>
        <w:t>Image Suggestions</w:t>
      </w:r>
      <w:r>
        <w:t>: quote-line anatomy diagram; origin vs destination charge split; fixed vs floating surcharge map</w:t>
      </w:r>
    </w:p>
    <w:p>
      <w:pPr>
        <w:pStyle w:val="ListBullet"/>
      </w:pPr>
      <w:r>
        <w:rPr>
          <w:b/>
        </w:rPr>
        <w:t>ALT Suggestions</w:t>
      </w:r>
      <w:r>
        <w:t>: "Freight quote line items O/F THC DOC BAF explained"</w:t>
      </w:r>
    </w:p>
    <w:p>
      <w:pPr>
        <w:pStyle w:val="Heading1"/>
      </w:pPr>
      <w:r>
        <w:t>The Procurement Problem: a Cheap Headline Rate Is Not the Cost</w:t>
      </w:r>
    </w:p>
    <w:p>
      <w:r>
        <w:t xml:space="preserve">Forwarders compete on the headline ocean freight number and recover margin in surcharges. An exporter who compares only "O/F" across quotes can choose the most expensive option. This guide explains </w:t>
      </w:r>
      <w:r>
        <w:rPr>
          <w:b/>
        </w:rPr>
        <w:t>what each line item is, what it is billed on, and which side (origin/destination) it falls</w:t>
      </w:r>
      <w:r>
        <w:t xml:space="preserve"> — so quotes can be compared line by line. It deliberately gives </w:t>
      </w:r>
      <w:r>
        <w:rPr>
          <w:b/>
        </w:rPr>
        <w:t>no currency amounts</w:t>
      </w:r>
      <w:r>
        <w:t>: every rate and surcharge moves with the market, and a printed number would be stale the moment it is written. The valid figure is always the one on the current formal quotation.</w:t>
      </w:r>
    </w:p>
    <w:p>
      <w:pPr>
        <w:pStyle w:val="Heading1"/>
      </w:pPr>
      <w:r>
        <w:t>The Core Line: Ocean Freight</w:t>
      </w:r>
    </w:p>
    <w:p>
      <w:r>
        <w:rPr>
          <w:b/>
        </w:rPr>
        <w:t>O/F (Ocean Freight)</w:t>
      </w:r>
      <w:r>
        <w:t xml:space="preserve"> is the base sea freight and the main body of the quote; it floats with </w:t>
      </w:r>
      <w:r>
        <w:rPr>
          <w:b/>
        </w:rPr>
        <w:t>route, capacity and season</w:t>
      </w:r>
      <w:r>
        <w:t xml:space="preserve">. For vehicles it is quoted per RoRo lane (often per vehicle unit) or per container; confirm the </w:t>
      </w:r>
      <w:r>
        <w:rPr>
          <w:b/>
        </w:rPr>
        <w:t>billing unit</w:t>
      </w:r>
      <w:r>
        <w:t xml:space="preserve"> before comparing — per car, per CEU-equivalent, or per box are not the same thing.</w:t>
      </w:r>
    </w:p>
    <w:p>
      <w:pPr>
        <w:pStyle w:val="Heading1"/>
      </w:pPr>
      <w:r>
        <w:t>Terminal and Documentation 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Code</w:t>
            </w:r>
          </w:p>
        </w:tc>
        <w:tc>
          <w:tcPr>
            <w:tcW w:type="dxa" w:w="216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Name</w:t>
            </w:r>
          </w:p>
        </w:tc>
        <w:tc>
          <w:tcPr>
            <w:tcW w:type="dxa" w:w="216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What it covers</w:t>
            </w:r>
          </w:p>
        </w:tc>
        <w:tc>
          <w:tcPr>
            <w:tcW w:type="dxa" w:w="216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Billing note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THC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Terminal Handling Charge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Port lifting/loading-unloading and terminal handling operations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Differs by container size; origin THC and destination THC are separate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DOC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Documentation fee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B/L and shipping-document processing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ODOC (origin)</w:t>
            </w:r>
            <w:r>
              <w:rPr>
                <w:sz w:val="20"/>
              </w:rPr>
              <w:t xml:space="preserve"> and </w:t>
            </w:r>
            <w:r>
              <w:rPr>
                <w:b/>
                <w:sz w:val="20"/>
              </w:rPr>
              <w:t>DDOC (destination)</w:t>
            </w:r>
            <w:r>
              <w:rPr>
                <w:sz w:val="20"/>
              </w:rPr>
              <w:t xml:space="preserve"> are billed separately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Seal fee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Container seal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Origin-side, container moves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VGM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Verified Gross Mass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Container weight verification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Origin-side, container moves</w:t>
            </w:r>
          </w:p>
        </w:tc>
      </w:tr>
    </w:tbl>
    <w:p>
      <w:pPr>
        <w:pStyle w:val="Heading1"/>
      </w:pPr>
      <w:r>
        <w:t>Floating Surcharges</w:t>
      </w:r>
    </w:p>
    <w:p>
      <w:r>
        <w:t>These move with external conditions and should be shown as separate, dated lines rather than buried in O/F:</w:t>
      </w:r>
    </w:p>
    <w:p>
      <w:pPr>
        <w:pStyle w:val="ListBullet"/>
      </w:pPr>
      <w:r>
        <w:rPr>
          <w:b/>
        </w:rPr>
        <w:t>BAF</w:t>
      </w:r>
      <w:r>
        <w:t xml:space="preserve"> — bunker/fuel adjustment (similar names include </w:t>
      </w:r>
      <w:r>
        <w:rPr>
          <w:b/>
        </w:rPr>
        <w:t>EBS</w:t>
      </w:r>
      <w:r>
        <w:t>); tracks bunker price.</w:t>
      </w:r>
    </w:p>
    <w:p>
      <w:pPr>
        <w:pStyle w:val="ListBullet"/>
      </w:pPr>
      <w:r>
        <w:rPr>
          <w:b/>
        </w:rPr>
        <w:t>CAF</w:t>
      </w:r>
      <w:r>
        <w:t xml:space="preserve"> — currency adjustment.</w:t>
      </w:r>
    </w:p>
    <w:p>
      <w:pPr>
        <w:pStyle w:val="ListBullet"/>
      </w:pPr>
      <w:r>
        <w:rPr>
          <w:b/>
        </w:rPr>
        <w:t>PSS</w:t>
      </w:r>
      <w:r>
        <w:t xml:space="preserve"> — peak-season surcharge.</w:t>
      </w:r>
    </w:p>
    <w:p>
      <w:pPr>
        <w:pStyle w:val="ListBullet"/>
      </w:pPr>
      <w:r>
        <w:rPr>
          <w:b/>
        </w:rPr>
        <w:t>PCS</w:t>
      </w:r>
      <w:r>
        <w:t xml:space="preserve"> — port congestion surcharge.</w:t>
      </w:r>
    </w:p>
    <w:p>
      <w:pPr>
        <w:pStyle w:val="ListBullet"/>
      </w:pPr>
      <w:r>
        <w:rPr>
          <w:b/>
        </w:rPr>
        <w:t>WRS</w:t>
      </w:r>
      <w:r>
        <w:t xml:space="preserve"> — war-risk surcharge for affected routes.</w:t>
      </w:r>
    </w:p>
    <w:p>
      <w:r>
        <w:t>A quote that bundles all of these into "all-in" without a breakdown is harder to audit when fuel or routing changes.</w:t>
      </w:r>
    </w:p>
    <w:p>
      <w:pPr>
        <w:pStyle w:val="Heading1"/>
      </w:pPr>
      <w:r>
        <w:t>Regional Manifest Filing Fees</w:t>
      </w:r>
    </w:p>
    <w:p>
      <w:r>
        <w:rPr>
          <w:b/>
        </w:rPr>
        <w:t>AMS / ACI / ENS</w:t>
      </w:r>
      <w:r>
        <w:t xml:space="preserve"> and similar are </w:t>
      </w:r>
      <w:r>
        <w:rPr>
          <w:b/>
        </w:rPr>
        <w:t>automated manifest declaration fees for the destination region</w:t>
      </w:r>
      <w:r>
        <w:t>, charged only when the routing passes through the relevant zone (US/Canada/EU-type regimes). They are route-dependent: a lane that never touches the region should not carry that fee — a useful cross-check for over-billing.</w:t>
      </w:r>
    </w:p>
    <w:p>
      <w:pPr>
        <w:pStyle w:val="Heading1"/>
      </w:pPr>
      <w:r>
        <w:t>How to Verify a Quote (method, not memorized numbers)</w:t>
      </w:r>
    </w:p>
    <w:p>
      <w:pPr>
        <w:pStyle w:val="ListNumber"/>
      </w:pPr>
      <w:r>
        <w:rPr>
          <w:b/>
        </w:rPr>
        <w:t>Demand itemized lines</w:t>
      </w:r>
      <w:r>
        <w:t xml:space="preserve">, each with its </w:t>
      </w:r>
      <w:r>
        <w:rPr>
          <w:b/>
        </w:rPr>
        <w:t>billing unit</w:t>
      </w:r>
      <w:r>
        <w:t xml:space="preserve"> (per box / per bill / per vehicle).</w:t>
      </w:r>
    </w:p>
    <w:p>
      <w:pPr>
        <w:pStyle w:val="ListNumber"/>
      </w:pPr>
      <w:r>
        <w:rPr>
          <w:b/>
        </w:rPr>
        <w:t>Split origin vs destination</w:t>
      </w:r>
      <w:r>
        <w:t xml:space="preserve"> charges — destination fees land on the consignee under some Incoterms and on the shipper under others; align them to the agreed Incoterm.</w:t>
      </w:r>
    </w:p>
    <w:p>
      <w:pPr>
        <w:pStyle w:val="ListNumber"/>
      </w:pPr>
      <w:r>
        <w:rPr>
          <w:b/>
        </w:rPr>
        <w:t>Flag every floating surcharge</w:t>
      </w:r>
      <w:r>
        <w:t xml:space="preserve"> with its basis and validity date; ask which are fixed for the sailing and which may adjust.</w:t>
      </w:r>
    </w:p>
    <w:p>
      <w:pPr>
        <w:pStyle w:val="ListNumber"/>
      </w:pPr>
      <w:r>
        <w:rPr>
          <w:b/>
        </w:rPr>
        <w:t>Match manifest fees to the actual route</w:t>
      </w:r>
      <w:r>
        <w:t xml:space="preserve"> — no AMS/ACI/ENS where the region is not transited.</w:t>
      </w:r>
    </w:p>
    <w:p>
      <w:pPr>
        <w:pStyle w:val="ListNumber"/>
      </w:pPr>
      <w:r>
        <w:rPr>
          <w:b/>
        </w:rPr>
        <w:t>Compare two or three quotes on the same line basis</w:t>
      </w:r>
      <w:r>
        <w:t>, not on headline O/F alone, and watch for unlisted "hidden" surcharges that appear on the final invoice.</w:t>
      </w:r>
    </w:p>
    <w:p>
      <w:pPr>
        <w:pStyle w:val="Heading1"/>
      </w:pPr>
      <w:r>
        <w:t>What This Guide Will Not Do</w:t>
      </w:r>
    </w:p>
    <w:p>
      <w:pPr>
        <w:pStyle w:val="ListBullet"/>
      </w:pPr>
      <w:r>
        <w:t xml:space="preserve">It states </w:t>
      </w:r>
      <w:r>
        <w:rPr>
          <w:b/>
        </w:rPr>
        <w:t>no amounts</w:t>
      </w:r>
      <w:r>
        <w:t xml:space="preserve"> (no "small-box THC in RMB", no fixed documentation fee) — such values are either stale or market-moving and are valid only on the current formal quote.</w:t>
      </w:r>
    </w:p>
    <w:p>
      <w:pPr>
        <w:pStyle w:val="ListBullet"/>
      </w:pPr>
      <w:r>
        <w:t xml:space="preserve">It does </w:t>
      </w:r>
      <w:r>
        <w:rPr>
          <w:b/>
        </w:rPr>
        <w:t>not</w:t>
      </w:r>
      <w:r>
        <w:t xml:space="preserve"> estimate landed cost or margin from freight lines; those require the actual dated quotation and the commercial terms.</w:t>
      </w:r>
    </w:p>
    <w:p>
      <w:pPr>
        <w:pStyle w:val="Heading1"/>
      </w:pPr>
      <w:r>
        <w:t>Frequently Asked Questions</w:t>
      </w:r>
    </w:p>
    <w:p>
      <w:r>
        <w:rPr>
          <w:b/>
        </w:rPr>
        <w:t>Why do two quotes with the same O/F differ in total?</w:t>
      </w:r>
      <w:r>
        <w:t xml:space="preserve"> Usually THC, documentation and floating surcharges (BAF/CAF/PSS) — compare itemized totals, not headline freight. </w:t>
      </w:r>
      <w:r>
        <w:rPr>
          <w:b/>
        </w:rPr>
        <w:t>Are origin and destination THC the same charge?</w:t>
      </w:r>
      <w:r>
        <w:t xml:space="preserve"> No; they are billed at each end and allocated differently by Incoterm. </w:t>
      </w:r>
      <w:r>
        <w:rPr>
          <w:b/>
        </w:rPr>
        <w:t>What are AMS/ACI/ENS?</w:t>
      </w:r>
      <w:r>
        <w:t xml:space="preserve"> Regional automated-manifest filing fees charged only when the route transits the relevant zone. </w:t>
      </w:r>
      <w:r>
        <w:rPr>
          <w:b/>
        </w:rPr>
        <w:t>Why is no price given here?</w:t>
      </w:r>
      <w:r>
        <w:t xml:space="preserve"> Freight and surcharges change continuously; only the current formal quotation for the sailing is valid.</w:t>
      </w:r>
    </w:p>
    <w:p>
      <w:pPr>
        <w:pStyle w:val="Heading1"/>
      </w:pPr>
      <w:r>
        <w:t>Sources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 title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Checked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Supported facts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FCL quote surcharge breakdown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NetEase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INTL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https://www.163.com/dy/article/L3DE4MEL0556E2ZO.html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O/F, DOC, BAF family, verification method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THC terminal handling charge explanation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Sina Finance shipping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INTL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https://finance.sina.com.cn/roll/2026-07-31/doc-iniksair4574469.shtml.md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THC definition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Ocean export charge composition (by route)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Baike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INTL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https://m.baike.com/wiki/%E6%B5%B7%E8%BF%90%E5%87%BA%E5%8F%A3/7570444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SINGLE_SOURCE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DOC/SEAL/VGM, AMS/ACI/ENS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Common FOB charge items (THC/booking/trucking)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11467 industry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https://m.11467.com/product/d24491409.htm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SINGLE_SOURCE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Origin-side item framing</w:t>
            </w:r>
          </w:p>
        </w:tc>
      </w:tr>
    </w:tbl>
    <w:p>
      <w:r>
        <w:rPr>
          <w:i/>
        </w:rPr>
        <w:t>Confidence note: RESEARCH_CONDITIONAL. Definitions cross-checked; all amounts deliberately withheld as market-moving; no landed-cost/margin inference.</w:t>
      </w:r>
    </w:p>
    <w:p>
      <w:pPr>
        <w:pStyle w:val="Heading1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2026-09-04</w:t>
      </w:r>
    </w:p>
    <w:p>
      <w:pPr>
        <w:pStyle w:val="ListBullet"/>
      </w:pPr>
      <w:r>
        <w:rPr>
          <w:b/>
        </w:rPr>
        <w:t>Reference market</w:t>
      </w:r>
      <w:r>
        <w:t>: Origin-port + international lanes (amounts excluded; route-specific)</w:t>
      </w:r>
    </w:p>
    <w:p>
      <w:pPr>
        <w:pStyle w:val="ListBullet"/>
      </w:pPr>
      <w:r>
        <w:rPr>
          <w:b/>
        </w:rPr>
        <w:t>Verification method</w:t>
      </w:r>
      <w:r>
        <w:t>: Multi-source definition cross-check; numeric rates withheld rather than guessed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FACT_SOURCE_PASS=CONDITIONAL · SEO_PASS=PASS · CODEX_REVIEW_PASS=PENDING · PUBLISH_APPROVED=FALSE until independent sign-off</w:t>
      </w:r>
    </w:p>
    <w:p>
      <w:r>
        <w:rPr>
          <w:b/>
        </w:rPr>
        <w:t>Tags</w:t>
      </w:r>
      <w:r>
        <w:t>: #FreightQuote #THC #BAF #ShippingCosts #VehicleExport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