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Marine Cargo Insurance for Shipped Chinese Vehicles: ICC (A)/(B)/(C), Insured Value and the Claims Trail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Marine Insurance for Imported Chinese Cars: ICC Clauses &amp; Claims</w:t>
      </w:r>
    </w:p>
    <w:p>
      <w:pPr>
        <w:pStyle w:val="ListBullet"/>
      </w:pPr>
      <w:r>
        <w:rPr>
          <w:b/>
        </w:rPr>
        <w:t>Meta Description</w:t>
      </w:r>
      <w:r>
        <w:t>: Insure a Chinese vehicle in ocean transit correctly — the official Institute Cargo Clauses (A)/(B)/(C), why cars need All-Risks, the CIF/CIP Incoterms 2020 insurance obligations, insured-value convention and claims evidence.</w:t>
      </w:r>
    </w:p>
    <w:p>
      <w:pPr>
        <w:pStyle w:val="ListBullet"/>
      </w:pPr>
      <w:r>
        <w:rPr>
          <w:b/>
        </w:rPr>
        <w:t>Suggested URL</w:t>
      </w:r>
      <w:r>
        <w:t>: /guides/marine-cargo-insurance-car-import/</w:t>
      </w:r>
    </w:p>
    <w:p>
      <w:pPr>
        <w:pStyle w:val="ListBullet"/>
      </w:pPr>
      <w:r>
        <w:rPr>
          <w:b/>
        </w:rPr>
        <w:t>H1</w:t>
      </w:r>
      <w:r>
        <w:t>: Insuring Chinese Vehicles in Ocean Transit: Clause Tier, Sum Insured and How a Claim Is Actually Paid</w:t>
      </w:r>
    </w:p>
    <w:p>
      <w:pPr>
        <w:pStyle w:val="ListBullet"/>
      </w:pPr>
      <w:r>
        <w:rPr>
          <w:b/>
        </w:rPr>
        <w:t>Primary Keyword</w:t>
      </w:r>
      <w:r>
        <w:t>: marine cargo insurance imported Chinese vehicle ICC A B C</w:t>
      </w:r>
    </w:p>
    <w:p>
      <w:pPr>
        <w:pStyle w:val="ListBullet"/>
      </w:pPr>
      <w:r>
        <w:rPr>
          <w:b/>
        </w:rPr>
        <w:t>Secondary Search Terms</w:t>
      </w:r>
      <w:r>
        <w:t>: Institute Cargo Clauses A all risks, LMA CL382, CIP Incoterms 2020 ICC A, CIF ICC C minimum, Hague-Visby SDR carrier cap, RoRo vehicle insurance, EV battery fire marine cover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/guides/commercial-truck-fleet-procurement-china/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ICC A/B/C coverage pyramid; risk-transfer/insurance-duty timeline by Incoterm; pre-shipment condition photo set; carrier-cap vs vehicle-value gap</w:t>
      </w:r>
    </w:p>
    <w:p>
      <w:pPr>
        <w:pStyle w:val="ListBullet"/>
      </w:pPr>
      <w:r>
        <w:rPr>
          <w:b/>
        </w:rPr>
        <w:t>ALT Suggestions</w:t>
      </w:r>
      <w:r>
        <w:t>: "Institute Cargo Clauses A B C coverage tiers"; "CIF versus CIP seller insurance obligation under Incoterms 2020"; "pre-shipment vehicle condition record for a claim"</w:t>
      </w:r>
    </w:p>
    <w:p>
      <w:pPr>
        <w:pStyle w:val="Heading1"/>
      </w:pPr>
      <w:r>
        <w:t>The Misconception That Costs Importers Money</w:t>
      </w:r>
    </w:p>
    <w:p>
      <w:r>
        <w:t xml:space="preserve">Buyers assume that under FOB or CIF the </w:t>
      </w:r>
      <w:r>
        <w:rPr>
          <w:b/>
        </w:rPr>
        <w:t>shipping line fully compensates</w:t>
      </w:r>
      <w:r>
        <w:t xml:space="preserve"> a scratched, crushed, stolen or water-damaged vehicle. It does not: carrier liability is capped by international convention far below a car's value, and the cargo clause you choose decides whether ordinary transit damage is covered at all. This page covers </w:t>
      </w:r>
      <w:r>
        <w:rPr>
          <w:b/>
        </w:rPr>
        <w:t>marine cargo insurance for vehicles shipped from China</w:t>
      </w:r>
      <w:r>
        <w:t xml:space="preserve"> (global ocean routes) — clauses and claims, distinct from Incoterm pricing and from RoRo-vs-container choice.</w:t>
      </w:r>
    </w:p>
    <w:p>
      <w:pPr>
        <w:pStyle w:val="Heading1"/>
      </w:pPr>
      <w:r>
        <w:t>The Three Clause Tiers — Anchored to the Official Wording</w:t>
      </w:r>
    </w:p>
    <w:p>
      <w:r>
        <w:t xml:space="preserve">Institute Cargo Clauses are published by the </w:t>
      </w:r>
      <w:r>
        <w:rPr>
          <w:b/>
        </w:rPr>
        <w:t>Lloyd's Market Association (LMA) and the International Underwriting Association of London (IUA)</w:t>
      </w:r>
      <w:r>
        <w:t xml:space="preserve">; the current (A)/(B)/(C) wordings — clause references </w:t>
      </w:r>
      <w:r>
        <w:rPr>
          <w:b/>
        </w:rPr>
        <w:t>CL382 (A), CL383 (B), CL384 (C) — took effect 1 January 2009</w:t>
      </w:r>
      <w:r>
        <w:t xml:space="preserve"> (official LMA wording; VERIFIED).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Tier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Cover (outline)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Suitability for a vehicle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ICC (A) — "All Risks" (CL382)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Accidental physical loss/damage from any external cause except listed exclusions; </w:t>
            </w:r>
            <w:r>
              <w:rPr>
                <w:b/>
                <w:sz w:val="20"/>
              </w:rPr>
              <w:t>includes theft, scratching and loading/unloading damage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The baseline for vehicles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ICC (B) — named perils (CL383)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Fire/explosion, stranding/sinking, collision, water ingress, earthquake etc. — listed events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Leaves common vehicle losses uncovered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ICC (C) — major casualties (CL384)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 narrow set of major casualties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Inadequate for a car</w:t>
            </w:r>
          </w:p>
        </w:tc>
      </w:tr>
    </w:tbl>
    <w:p>
      <w:r>
        <w:t xml:space="preserve">Vehicles warrant </w:t>
      </w:r>
      <w:r>
        <w:rPr>
          <w:b/>
        </w:rPr>
        <w:t>ICC (A)</w:t>
      </w:r>
      <w:r>
        <w:t xml:space="preserve"> precisely because the losses that occur most on RoRo and in port handling — loading/unloading damage, theft, scratches and dents — are the ones (B) and (C) exclude. </w:t>
      </w:r>
      <w:r>
        <w:rPr>
          <w:b/>
        </w:rPr>
        <w:t>War and strikes cover are separate clauses</w:t>
      </w:r>
      <w:r>
        <w:t xml:space="preserve"> purchased additionally for sensitive routes.</w:t>
      </w:r>
    </w:p>
    <w:p>
      <w:pPr>
        <w:pStyle w:val="Heading1"/>
      </w:pPr>
      <w:r>
        <w:t>Incoterms 2020: the CIP-vs-CIF Obligation Buyers Miss</w:t>
      </w:r>
    </w:p>
    <w:p>
      <w:r>
        <w:t xml:space="preserve">This is now grounded in the ICC's own Incoterms materials (VERIFIED): under </w:t>
      </w:r>
      <w:r>
        <w:rPr>
          <w:b/>
        </w:rPr>
        <w:t>Incoterms 2020 the seller's *minimum* insurance duty was raised to Institute Cargo Clauses (A) for CIP</w:t>
      </w:r>
      <w:r>
        <w:t xml:space="preserve">, whereas </w:t>
      </w:r>
      <w:r>
        <w:rPr>
          <w:b/>
        </w:rPr>
        <w:t>CIF retains the lower ICC (C) minimum</w:t>
      </w:r>
      <w:r>
        <w:t xml:space="preserve"> (ICC Digital Library / ICC Academy explain the 2010→2020 change and its premium trade-off). Practical consequence:</w:t>
      </w:r>
    </w:p>
    <w:p>
      <w:pPr>
        <w:pStyle w:val="ListBullet"/>
      </w:pPr>
      <w:r>
        <w:t xml:space="preserve">On </w:t>
      </w:r>
      <w:r>
        <w:rPr>
          <w:b/>
        </w:rPr>
        <w:t>CIF</w:t>
      </w:r>
      <w:r>
        <w:t xml:space="preserve">, the seller may only owe minimal </w:t>
      </w:r>
      <w:r>
        <w:rPr>
          <w:b/>
        </w:rPr>
        <w:t>ICC (C)</w:t>
      </w:r>
      <w:r>
        <w:t xml:space="preserve"> cover even though a car needs </w:t>
      </w:r>
      <w:r>
        <w:rPr>
          <w:b/>
        </w:rPr>
        <w:t>(A)</w:t>
      </w:r>
      <w:r>
        <w:t xml:space="preserve"> — write </w:t>
      </w:r>
      <w:r>
        <w:rPr>
          <w:b/>
        </w:rPr>
        <w:t>ICC (A) explicitly into the contract and any letter of credit</w:t>
      </w:r>
      <w:r>
        <w:t>, or buy your own top-up.</w:t>
      </w:r>
    </w:p>
    <w:p>
      <w:pPr>
        <w:pStyle w:val="ListBullet"/>
      </w:pPr>
      <w:r>
        <w:t xml:space="preserve">On </w:t>
      </w:r>
      <w:r>
        <w:rPr>
          <w:b/>
        </w:rPr>
        <w:t>CIP</w:t>
      </w:r>
      <w:r>
        <w:t xml:space="preserve">, the default minimum is </w:t>
      </w:r>
      <w:r>
        <w:rPr>
          <w:b/>
        </w:rPr>
        <w:t>ICC (A)</w:t>
      </w:r>
      <w:r>
        <w:t xml:space="preserve"> for the buyer's benefit — still confirm the actual clause on the certificate rather than assuming.</w:t>
      </w:r>
    </w:p>
    <w:p>
      <w:pPr>
        <w:pStyle w:val="Heading1"/>
      </w:pPr>
      <w:r>
        <w:t>Setting the Insured Value (no invented premium)</w:t>
      </w:r>
    </w:p>
    <w:p>
      <w:r>
        <w:t xml:space="preserve">Standard CIF/CIP and documentary-credit practice sets minimum insured value at </w:t>
      </w:r>
      <w:r>
        <w:rPr>
          <w:b/>
        </w:rPr>
        <w:t>110% of CIF</w:t>
      </w:r>
      <w:r>
        <w:t xml:space="preserve"> (100% goods + 10% for expected profit/incidentals): </w:t>
      </w:r>
      <w:r>
        <w:rPr>
          <w:b/>
        </w:rPr>
        <w:t>insured amount = CIF × 110%; premium = insured amount × rate</w:t>
      </w:r>
      <w:r>
        <w:t xml:space="preserve">. The </w:t>
      </w:r>
      <w:r>
        <w:rPr>
          <w:b/>
        </w:rPr>
        <w:t>rate floats with route, season, tier, vessel and cargo risk and is quoted per shipment</w:t>
      </w:r>
      <w:r>
        <w:t xml:space="preserve"> — no fixed percentage is published here because a printed rate would be wrong by use. Obtain a per-shipment quote and check it matches the clause tier and add-ons you need.</w:t>
      </w:r>
    </w:p>
    <w:p>
      <w:pPr>
        <w:pStyle w:val="Heading1"/>
      </w:pPr>
      <w:r>
        <w:t>Why the Carrier's Own Liability Is Not Enough</w:t>
      </w:r>
    </w:p>
    <w:p>
      <w:r>
        <w:t xml:space="preserve">Under the </w:t>
      </w:r>
      <w:r>
        <w:rPr>
          <w:b/>
        </w:rPr>
        <w:t>Hague-Visby Rules</w:t>
      </w:r>
      <w:r>
        <w:t xml:space="preserve"> carrier liability is capped at </w:t>
      </w:r>
      <w:r>
        <w:rPr>
          <w:b/>
        </w:rPr>
        <w:t>666.67 SDR per package/unit or 2 SDR per kilogramme, whichever is higher</w:t>
      </w:r>
      <w:r>
        <w:t xml:space="preserve"> — both far below a vehicle's value. SDR amounts are amended over time (confirm the current figure), but the structural gap is exactly what cargo insurance fills. Note the convention cap is a treaty provision, not an insurer's marketing claim.</w:t>
      </w:r>
    </w:p>
    <w:p>
      <w:pPr>
        <w:pStyle w:val="Heading1"/>
      </w:pPr>
      <w:r>
        <w:t>What Even "All Risks" Excludes — and the EV Question</w:t>
      </w:r>
    </w:p>
    <w:p>
      <w:r>
        <w:t xml:space="preserve">ICC (A) is broad, not absolute: it does not cover mechanical/electrical breakdown, ordinary wear and tear or </w:t>
      </w:r>
      <w:r>
        <w:rPr>
          <w:b/>
        </w:rPr>
        <w:t>inherent vice</w:t>
      </w:r>
      <w:r>
        <w:t xml:space="preserve">. For an </w:t>
      </w:r>
      <w:r>
        <w:rPr>
          <w:b/>
        </w:rPr>
        <w:t>EV</w:t>
      </w:r>
      <w:r>
        <w:t xml:space="preserve">, cover for </w:t>
      </w:r>
      <w:r>
        <w:rPr>
          <w:b/>
        </w:rPr>
        <w:t>battery/thermal (fire) events in transit</w:t>
      </w:r>
      <w:r>
        <w:t xml:space="preserve"> depends on the specific policy wording and dangerous-goods declaration duties. Declare the EV and ask in writing whether in-transit thermal runaway/battery fire is covered or excluded — never assume an EV is treated identically to an ICE car.</w:t>
      </w:r>
    </w:p>
    <w:p>
      <w:pPr>
        <w:pStyle w:val="Heading1"/>
      </w:pPr>
      <w:r>
        <w:t>Building a Claim That Pays</w:t>
      </w:r>
    </w:p>
    <w:p>
      <w:r>
        <w:t>Insurance responds to documented loss:</w:t>
      </w:r>
    </w:p>
    <w:p>
      <w:pPr>
        <w:pStyle w:val="ListBullet"/>
      </w:pPr>
      <w:r>
        <w:rPr>
          <w:b/>
        </w:rPr>
        <w:t>Before shipment</w:t>
      </w:r>
      <w:r>
        <w:t>: dated photos/video of every panel, wheels, glass, interior, underside and (EV) SOC, witnessed at handover.</w:t>
      </w:r>
    </w:p>
    <w:p>
      <w:pPr>
        <w:pStyle w:val="ListBullet"/>
      </w:pPr>
      <w:r>
        <w:rPr>
          <w:b/>
        </w:rPr>
        <w:t>Documents</w:t>
      </w:r>
      <w:r>
        <w:t>: invoice, packing list, B/L (RoRo B/L noting vehicle condition), insurance certificate, handling receipts.</w:t>
      </w:r>
    </w:p>
    <w:p>
      <w:pPr>
        <w:pStyle w:val="ListBullet"/>
      </w:pPr>
      <w:r>
        <w:rPr>
          <w:b/>
        </w:rPr>
        <w:t>At discharge</w:t>
      </w:r>
      <w:r>
        <w:t xml:space="preserve">: inspect </w:t>
      </w:r>
      <w:r>
        <w:rPr>
          <w:b/>
        </w:rPr>
        <w:t>before</w:t>
      </w:r>
      <w:r>
        <w:t xml:space="preserve"> signing a clean receipt; note damage on the tally with immediate photos; arrange survey where required and meet policy deadlines; retain damaged parts/packaging.</w:t>
      </w:r>
    </w:p>
    <w:p>
      <w:pPr>
        <w:pStyle w:val="Heading1"/>
      </w:pPr>
      <w:r>
        <w:t>What AutoBridge Adds Beyond an Insurance Broker's Flyer</w:t>
      </w:r>
    </w:p>
    <w:p>
      <w:r>
        <w:t xml:space="preserve">Brokers sell a tier; they rarely tie it to the purchase contract. AutoBridge writes the </w:t>
      </w:r>
      <w:r>
        <w:rPr>
          <w:b/>
        </w:rPr>
        <w:t>exact ICC clause (and war/strikes add-on) into the PI/L-C so a CIF seller cannot default to ICC (C)</w:t>
      </w:r>
      <w:r>
        <w:t xml:space="preserve">, sets the insured-value base consistently with the commercial invoice, and gives the buyer a </w:t>
      </w:r>
      <w:r>
        <w:rPr>
          <w:b/>
        </w:rPr>
        <w:t>pre-shipment condition-record template aligned to the discharge survey</w:t>
      </w:r>
      <w:r>
        <w:t xml:space="preserve"> — closing the documentation gap that most commonly reduces or voids a vehicle claim.</w:t>
      </w:r>
    </w:p>
    <w:p>
      <w:pPr>
        <w:pStyle w:val="Heading1"/>
      </w:pPr>
      <w:r>
        <w:t>Before Paying Freight/Premium</w:t>
      </w:r>
    </w:p>
    <w:p>
      <w:pPr>
        <w:pStyle w:val="ListBullet"/>
      </w:pPr>
      <w:r>
        <w:t xml:space="preserve">Specify </w:t>
      </w:r>
      <w:r>
        <w:rPr>
          <w:b/>
        </w:rPr>
        <w:t>ICC (A)</w:t>
      </w:r>
      <w:r>
        <w:t xml:space="preserve"> (CL382) in writing; add war/strikes where the route warrants.</w:t>
      </w:r>
    </w:p>
    <w:p>
      <w:pPr>
        <w:pStyle w:val="ListBullet"/>
      </w:pPr>
      <w:r>
        <w:t>Confirm insured value = CIF × 110% and obtain a per-shipment rate (no assumed number).</w:t>
      </w:r>
    </w:p>
    <w:p>
      <w:pPr>
        <w:pStyle w:val="ListBullet"/>
      </w:pPr>
      <w:r>
        <w:t>On CIF, do not rely on the ICC (C) default — require (A) or self-insure the gap.</w:t>
      </w:r>
    </w:p>
    <w:p>
      <w:pPr>
        <w:pStyle w:val="ListBullet"/>
      </w:pPr>
      <w:r>
        <w:t>For EVs, obtain written battery-fire/thermal cover and DG-declaration guidance.</w:t>
      </w:r>
    </w:p>
    <w:p>
      <w:pPr>
        <w:pStyle w:val="ListBullet"/>
      </w:pPr>
      <w:r>
        <w:t>Complete the pre-shipment condition record and plan discharge inspection before signing.</w:t>
      </w:r>
    </w:p>
    <w:p>
      <w:pPr>
        <w:pStyle w:val="Heading1"/>
      </w:pPr>
      <w:r>
        <w:t>Frequently Asked Questions</w:t>
      </w:r>
    </w:p>
    <w:p>
      <w:r>
        <w:rPr>
          <w:b/>
        </w:rPr>
        <w:t>Is ICC (C) enough for a shipped car?</w:t>
      </w:r>
      <w:r>
        <w:t xml:space="preserve"> No — it covers only major casualties; theft, scratches and loading damage need ICC (A) (CL382). </w:t>
      </w:r>
      <w:r>
        <w:rPr>
          <w:b/>
        </w:rPr>
        <w:t>Why 110% of CIF?</w:t>
      </w:r>
      <w:r>
        <w:t xml:space="preserve"> Standard practice adds 10% for expected profit/incidentals; premium is that amount times a per-shipment rate. </w:t>
      </w:r>
      <w:r>
        <w:rPr>
          <w:b/>
        </w:rPr>
        <w:t>Doesn't the shipping line pay for damage?</w:t>
      </w:r>
      <w:r>
        <w:t xml:space="preserve"> Only to the Hague-Visby cap (666.67 SDR/unit or 2 SDR/kg, higher applies) — far below vehicle value. </w:t>
      </w:r>
      <w:r>
        <w:rPr>
          <w:b/>
        </w:rPr>
        <w:t>CIF or CIP — which default is stronger?</w:t>
      </w:r>
      <w:r>
        <w:t xml:space="preserve"> Under Incoterms 2020 CIP requires at least ICC (A); CIF defaults to ICC (C), so on CIF demand (A) in writing. </w:t>
      </w:r>
      <w:r>
        <w:rPr>
          <w:b/>
        </w:rPr>
        <w:t>Is an EV battery fire covered by All Risks?</w:t>
      </w:r>
      <w:r>
        <w:t xml:space="preserve"> It depends on the wording — declare the EV and obtain written confirmation.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Institute Cargo Clauses (A) 1/1/09 official wording (CL382)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Lloyd's Market Association (</w:t>
            </w:r>
            <w:r>
              <w:rPr>
                <w:b/>
                <w:sz w:val="20"/>
              </w:rPr>
              <w:t>market/standards body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https://assets.lloyds.com/media/dcb2ad19-4820-4b42-a5d0-0dcea17ef691/ICCA%201%201%2009%203.pdf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ICC (A) "all risks" scope and exclusions; official clause wording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Incoterms 2010 vs 2020 (CIP moved from ICC (C) to ICC (A))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International Chamber of Commerce (</w:t>
            </w:r>
            <w:r>
              <w:rPr>
                <w:b/>
                <w:sz w:val="20"/>
              </w:rPr>
              <w:t>standards body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https://library.iccwbo.org/clp/clp-incoterms-2020vs2010.htm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CIP minimum raised to ICC (A); CIF keeps ICC (C)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Incoterms 2020 — CPT or CIP (seller insurance duty)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ICC Academy (</w:t>
            </w:r>
            <w:r>
              <w:rPr>
                <w:b/>
                <w:sz w:val="20"/>
              </w:rPr>
              <w:t>ICC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https://academy.iccwbo.org/incoterms/article/incoterms-2020-cpt-or-cip/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CIP seller contracts/pays insurance to named place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Institute Cargo Clauses numbering/effective date &amp; RoRo vehicle cover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Voyage Cover (specialist brokerage, cites LMA/IUA, Hague-Visby)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https://voyagecover.com/guides/institute-cargo-clauses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CL382/383/384 numbering, 1 Jan 2009, SDR cap context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110% insured-value convention / rate variability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Portlogics &amp; PLANETCARS (industry)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https://www.portlogics.com/insights/marine-cargo-insurance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CIF×110% base; per-shipment rate</w:t>
            </w:r>
          </w:p>
        </w:tc>
      </w:tr>
    </w:tbl>
    <w:p>
      <w:r>
        <w:rPr>
          <w:i/>
        </w:rPr>
        <w:t>Confidence note: clause scope/numbering and the Incoterms insurance obligations are VERIFIED on LMA/ICC primary material. The Hague-Visby SDR figure is a treaty provision to confirm for the current amended amount; premium rates are per-shipment and deliberately not stated; EV battery-fire cover is policy-specific.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Team](/authors/autobridge-export-sourcing-team/) · method per our [Editorial Policy](/about/editorial-policy/)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Second-round source revision</w:t>
      </w:r>
      <w:r>
        <w:t>: 2026-09-03 (LMA official ICC(A) wording and ICC official Incoterms sources added)</w:t>
      </w:r>
    </w:p>
    <w:p>
      <w:pPr>
        <w:pStyle w:val="ListBullet"/>
      </w:pPr>
      <w:r>
        <w:rPr>
          <w:b/>
        </w:rPr>
        <w:t>Reference market</w:t>
      </w:r>
      <w:r>
        <w:t>: Global ocean cargo from China</w:t>
      </w:r>
    </w:p>
    <w:p>
      <w:pPr>
        <w:pStyle w:val="ListBullet"/>
      </w:pPr>
      <w:r>
        <w:rPr>
          <w:b/>
        </w:rPr>
        <w:t>Verification method</w:t>
      </w:r>
      <w:r>
        <w:t>: Standards/market-body primary wording for clauses and Incoterms duties; industry sources only for operational convention; rates left to live quote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(LMA/ICC primary sources added)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