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China Customs IPR Recordation: How Trademark, Patent and Copyright Are Protected at the Export Border</w:t>
      </w:r>
    </w:p>
    <w:p>
      <w:pPr>
        <w:pStyle w:val="Heading2"/>
      </w:pPr>
      <w:r>
        <w:t>SEO Metadata</w:t>
      </w:r>
    </w:p>
    <w:p>
      <w:pPr>
        <w:pStyle w:val="ListBullet"/>
      </w:pPr>
      <w:r>
        <w:rPr>
          <w:b/>
        </w:rPr>
        <w:t>SEO Title</w:t>
      </w:r>
      <w:r>
        <w:t>: China Customs IPR Recordation for Vehicle and Parts Exporters | AutoBridge</w:t>
      </w:r>
    </w:p>
    <w:p>
      <w:pPr>
        <w:pStyle w:val="ListBullet"/>
      </w:pPr>
      <w:r>
        <w:rPr>
          <w:b/>
        </w:rPr>
        <w:t>Meta Description</w:t>
      </w:r>
      <w:r>
        <w:t>: How China Customs protects recorded trademarks, patents and copyright at the border, the difference between ex-officio and on-request detention, and what an exporter must file before shipment.</w:t>
      </w:r>
    </w:p>
    <w:p>
      <w:pPr>
        <w:pStyle w:val="ListBullet"/>
      </w:pPr>
      <w:r>
        <w:rPr>
          <w:b/>
        </w:rPr>
        <w:t>H1</w:t>
      </w:r>
      <w:r>
        <w:t>: China Customs IPR Recordation: How Trademark, Patent and Copyright Are Protected at the Export Border</w:t>
      </w:r>
    </w:p>
    <w:p>
      <w:pPr>
        <w:pStyle w:val="ListBullet"/>
      </w:pPr>
      <w:r>
        <w:rPr>
          <w:b/>
        </w:rPr>
        <w:t>Primary Keyword</w:t>
      </w:r>
      <w:r>
        <w:t>: china customs ipr recordation export protection</w:t>
      </w:r>
    </w:p>
    <w:p>
      <w:pPr>
        <w:pStyle w:val="ListBullet"/>
      </w:pPr>
      <w:r>
        <w:rPr>
          <w:b/>
        </w:rPr>
        <w:t>Secondary Search Terms</w:t>
      </w:r>
      <w:r>
        <w:t>: customs ipr protection regulation; GACC intellectual property recordation; ex-officio customs detention; trademark recordation export; patent border protection China</w:t>
      </w:r>
    </w:p>
    <w:p>
      <w:pPr>
        <w:pStyle w:val="ListBullet"/>
      </w:pPr>
      <w:r>
        <w:rPr>
          <w:b/>
        </w:rPr>
        <w:t>Suggested URL</w:t>
      </w:r>
      <w:r>
        <w:t>: /guides/ipr-customs-recordation-export-protection/</w:t>
      </w:r>
    </w:p>
    <w:p>
      <w:pPr>
        <w:pStyle w:val="ListBullet"/>
      </w:pPr>
      <w:r>
        <w:rPr>
          <w:b/>
        </w:rPr>
        <w:t>Search Intent</w:t>
      </w:r>
      <w:r>
        <w:t>: 出口企业如何通过海关知识产权备案，在进出口环节获得商标/专利/著作权边境保护，依职权与依申请两条路径有何区别</w:t>
      </w:r>
    </w:p>
    <w:p>
      <w:pPr>
        <w:pStyle w:val="ListBullet"/>
      </w:pPr>
      <w:r>
        <w:rPr>
          <w:b/>
        </w:rPr>
        <w:t>Internal Link Suggestions</w:t>
      </w:r>
      <w:r>
        <w:t>: /guides/export-license-dual-use-items-catalogue-2026/, /guides/customs-voluntary-disclosure-audit-tolerance/, /guides/china-e-port-enrollment-ic-card-operator/</w:t>
      </w:r>
    </w:p>
    <w:p>
      <w:pPr>
        <w:pStyle w:val="ListBullet"/>
      </w:pPr>
      <w:r>
        <w:rPr>
          <w:b/>
        </w:rPr>
        <w:t>Image Suggestion</w:t>
      </w:r>
      <w:r>
        <w:t>: A customs officer reviewing an intellectual-property recordation file beside sealed export cartons marked with a brand logo</w:t>
      </w:r>
    </w:p>
    <w:p>
      <w:pPr>
        <w:pStyle w:val="ListBullet"/>
      </w:pPr>
      <w:r>
        <w:rPr>
          <w:b/>
        </w:rPr>
        <w:t>ALT Suggestion</w:t>
      </w:r>
      <w:r>
        <w:t>: Open IPR recordation folder on a desk with sealed export cartons in the background</w:t>
      </w:r>
    </w:p>
    <w:p>
      <w:pPr>
        <w:pStyle w:val="ListBullet"/>
      </w:pPr>
      <w:r>
        <w:rPr>
          <w:b/>
        </w:rPr>
        <w:t>Schema Scope</w:t>
      </w:r>
      <w:r>
        <w:t>: Article (no Product/Offer/Price/Review/Rating)</w:t>
      </w:r>
    </w:p>
    <w:p/>
    <w:p>
      <w:r>
        <w:t>When a Chinese-made vehicle or a container of spare parts carries a brand name, a logo, a patented mechanism or licensed design material, the goods do not clear the border in an intellectual-property vacuum. China runs a dedicated border-protection regime under the Regulations on Customs Protection of Intellectual Property Rights and their implementing rules (General Administration of Customs of China Order No.183). The decisive instrument for a rights holder is customs recordation: once a trademark, patent or copyright is recorded with GACC, customs is positioned to act at the import and export stage. This guide separates what the regime reliably does, the two routes into protection, and the points an exporter or brand owner must verify case by case — without fixing fees or bond amounts, which are assessed per matter and change over time.</w:t>
      </w:r>
    </w:p>
    <w:p/>
    <w:p>
      <w:pPr>
        <w:pStyle w:val="Heading2"/>
      </w:pPr>
      <w:r>
        <w:t>Which rights the border regime covers</w:t>
      </w:r>
    </w:p>
    <w:p/>
    <w:p>
      <w:r>
        <w:t>The customs IPR protection regime covers three families of rights: exclusive trademark rights, patent rights, and copyright (including related rights). For an automotive exporter this maps directly onto real cargo: word and device trademarks on grilles, wheels and packaging; utility-model or design patents on lamps, trim and mechanical parts; and copyright in software, manuals and media loaded into a vehicle. A right that exists domestically is not automatically enforced at the border — the regime works most strongly where the right has first been recorded with customs.</w:t>
      </w:r>
    </w:p>
    <w:p/>
    <w:p>
      <w:r>
        <w:t>The national IP registration side sits with the China National Intellectual Property Administration (CNIPA) for trademarks and patents, while border enforcement sits with customs. That division matters: a trademark certificate establishes the right; recordation with GACC is what arms the border mechanism. Exporters should not treat an IP certificate and a customs recordation as the same document.</w:t>
      </w:r>
    </w:p>
    <w:p/>
    <w:p>
      <w:pPr>
        <w:pStyle w:val="Heading2"/>
      </w:pPr>
      <w:r>
        <w:t>Two protection routes — and why recordation decides which one is available</w:t>
      </w:r>
    </w:p>
    <w:p/>
    <w:p>
      <w:r>
        <w:t>The Regulations create two distinct routes, and confusing them is the most common planning error.</w:t>
      </w:r>
    </w:p>
    <w:p/>
    <w:p>
      <w:pPr>
        <w:pStyle w:val="ListNumber"/>
      </w:pPr>
      <w:r>
        <w:rPr>
          <w:b/>
        </w:rPr>
        <w:t>Ex-officio protection (依职权保护).</w:t>
      </w:r>
      <w:r>
        <w:t xml:space="preserve"> Where a right is already recorded, customs may actively inspect consignments it suspects infringe, suspend release and detain suspect goods on its own initiative, then notify the rights holder. This proactive route presupposes a valid recordation on file; without one, customs has no recorded basis to initiate this route for that right.</w:t>
      </w:r>
    </w:p>
    <w:p>
      <w:pPr>
        <w:pStyle w:val="ListNumber"/>
      </w:pPr>
      <w:r>
        <w:rPr>
          <w:b/>
        </w:rPr>
        <w:t>Protection upon application (依申请保护).</w:t>
      </w:r>
      <w:r>
        <w:t xml:space="preserve"> For a specific consignment, a rights holder may apply to customs to detain suspected infringing goods, even outside the standing ex-officio track. This is shipment-specific and depends on the application and supporting evidence for that batch.</w:t>
      </w:r>
    </w:p>
    <w:p/>
    <w:p>
      <w:r>
        <w:t>The practical consequence is structural: recordation is the gateway to proactive, repeatable border protection across many shipments, whereas an on-request application solves a single identified batch. A brand owner that expects ongoing exports should record first rather than file one detention application after another.</w:t>
      </w:r>
    </w:p>
    <w:p/>
    <w:p>
      <w:pPr>
        <w:pStyle w:val="Heading2"/>
      </w:pPr>
      <w:r>
        <w:t>Where an exporter or rights holder fits in the process</w:t>
      </w:r>
    </w:p>
    <w:p/>
    <w:p>
      <w:r>
        <w:t>The recordation process runs from the rights holder, not from the freight forwarder. The holder submits the recordation through the customs IPR recordation system with proof of the underlying right and holder identity; customs reviews and records eligible rights; thereafter the recorded right can be invoked at ports. When customs identifies a suspect shipment under the ex-officio route it suspends release and notifies the holder, who must respond within the statutory window with an application and security for the matter to proceed to detention and a determination.</w:t>
      </w:r>
    </w:p>
    <w:p/>
    <w:p>
      <w:r>
        <w:t>For a vehicle exporter that is also a legitimate licensee, the discipline runs in both directions. Outbound, you must be able to show that every brand, badge and licensed technology on the vehicle or in its parts is authorised, so that your own cargo is not suspended as infringing. Inbound or in transit, a recorded brand you own or license can be defended against copy parts. Keep the trademark registration, the licence chain and the customs recordation aligned to the exact legal entity named on the export invoice — mismatched holder names are a frequent cause of delay.</w:t>
      </w:r>
    </w:p>
    <w:p/>
    <w:p>
      <w:pPr>
        <w:pStyle w:val="Heading2"/>
      </w:pPr>
      <w:r>
        <w:t>What customs decides — and what it does not</w:t>
      </w:r>
    </w:p>
    <w:p/>
    <w:p>
      <w:r>
        <w:t>Customs enforces the border: it may suspend release and detain suspect goods and handle the procedural consequences under the Regulations. Customs is not the forum that finally decides whether an IP right is valid or whether infringement exists on the merits; that substantive determination belongs with the IP authorities or the courts. An exporter should therefore not read a detention as a final infringement ruling, and a rights holder should not treat recordation as a substitute for a strong underlying registration.</w:t>
      </w:r>
    </w:p>
    <w:p/>
    <w:p>
      <w:r>
        <w:t>The security or bond a party must post, and any recordation fee, are fixed by the current official provisions and assessed for the specific matter. They are time-sensitive and case-specific; obtain the current figure from the official customs channel for the actual case rather than copying a number seen online.</w:t>
      </w:r>
    </w:p>
    <w:p/>
    <w:p>
      <w:pPr>
        <w:pStyle w:val="Heading2"/>
      </w:pPr>
      <w:r>
        <w:t>Before the container moves</w:t>
      </w:r>
    </w:p>
    <w:p/>
    <w:tbl>
      <w:tblPr>
        <w:tblStyle w:val="LightGrid-Accent1"/>
        <w:tblW w:type="auto" w:w="0"/>
        <w:tblLook w:firstColumn="1" w:firstRow="1" w:lastColumn="0" w:lastRow="0" w:noHBand="0" w:noVBand="1" w:val="04A0"/>
      </w:tblPr>
      <w:tblGrid>
        <w:gridCol w:w="4320"/>
        <w:gridCol w:w="4320"/>
      </w:tblGrid>
      <w:tr>
        <w:tc>
          <w:tcPr>
            <w:tcW w:type="dxa" w:w="4320"/>
          </w:tcPr>
          <w:p>
            <w:r>
              <w:t>Check</w:t>
            </w:r>
          </w:p>
        </w:tc>
        <w:tc>
          <w:tcPr>
            <w:tcW w:type="dxa" w:w="4320"/>
          </w:tcPr>
          <w:p>
            <w:r>
              <w:t>Why it matters for vehicles and parts</w:t>
            </w:r>
          </w:p>
        </w:tc>
      </w:tr>
      <w:tr>
        <w:tc>
          <w:tcPr>
            <w:tcW w:type="dxa" w:w="4320"/>
          </w:tcPr>
          <w:p>
            <w:r>
              <w:t>Underlying right valid and in force</w:t>
            </w:r>
          </w:p>
        </w:tc>
        <w:tc>
          <w:tcPr>
            <w:tcW w:type="dxa" w:w="4320"/>
          </w:tcPr>
          <w:p>
            <w:r>
              <w:t>Recordation rests on a live trademark, patent or copyright; an expired or under-renewal registration weakens border action.</w:t>
            </w:r>
          </w:p>
        </w:tc>
      </w:tr>
      <w:tr>
        <w:tc>
          <w:tcPr>
            <w:tcW w:type="dxa" w:w="4320"/>
          </w:tcPr>
          <w:p>
            <w:r>
              <w:t>Customs recordation on file</w:t>
            </w:r>
          </w:p>
        </w:tc>
        <w:tc>
          <w:tcPr>
            <w:tcW w:type="dxa" w:w="4320"/>
          </w:tcPr>
          <w:p>
            <w:r>
              <w:t>Ex-officio protection requires a recorded right; confirm the recorded holder matches the export contracting entity.</w:t>
            </w:r>
          </w:p>
        </w:tc>
      </w:tr>
      <w:tr>
        <w:tc>
          <w:tcPr>
            <w:tcW w:type="dxa" w:w="4320"/>
          </w:tcPr>
          <w:p>
            <w:r>
              <w:t>Licence chain documented</w:t>
            </w:r>
          </w:p>
        </w:tc>
        <w:tc>
          <w:tcPr>
            <w:tcW w:type="dxa" w:w="4320"/>
          </w:tcPr>
          <w:p>
            <w:r>
              <w:t>For licensed badges, designs or in-vehicle software, keep the authorisation chain ready in case cargo is suspended.</w:t>
            </w:r>
          </w:p>
        </w:tc>
      </w:tr>
      <w:tr>
        <w:tc>
          <w:tcPr>
            <w:tcW w:type="dxa" w:w="4320"/>
          </w:tcPr>
          <w:p>
            <w:r>
              <w:t>Two routes distinguished</w:t>
            </w:r>
          </w:p>
        </w:tc>
        <w:tc>
          <w:tcPr>
            <w:tcW w:type="dxa" w:w="4320"/>
          </w:tcPr>
          <w:p>
            <w:r>
              <w:t>Use ex-officio for standing protection; file an on-request application for one identified suspect batch.</w:t>
            </w:r>
          </w:p>
        </w:tc>
      </w:tr>
      <w:tr>
        <w:tc>
          <w:tcPr>
            <w:tcW w:type="dxa" w:w="4320"/>
          </w:tcPr>
          <w:p>
            <w:r>
              <w:t>Bond and fee confirmed currently</w:t>
            </w:r>
          </w:p>
        </w:tc>
        <w:tc>
          <w:tcPr>
            <w:tcW w:type="dxa" w:w="4320"/>
          </w:tcPr>
          <w:p>
            <w:r>
              <w:t>Security and fees are case-by-case and time-sensitive — verify the current official amount, never reuse an old figure.</w:t>
            </w:r>
          </w:p>
        </w:tc>
      </w:tr>
      <w:tr>
        <w:tc>
          <w:tcPr>
            <w:tcW w:type="dxa" w:w="4320"/>
          </w:tcPr>
          <w:p>
            <w:r>
              <w:t>Marks match the paperwork</w:t>
            </w:r>
          </w:p>
        </w:tc>
        <w:tc>
          <w:tcPr>
            <w:tcW w:type="dxa" w:w="4320"/>
          </w:tcPr>
          <w:p>
            <w:r>
              <w:t>Brand names and logos on the vehicle, parts and packaging must match the invoice and authorisation documents.</w:t>
            </w:r>
          </w:p>
        </w:tc>
      </w:tr>
    </w:tbl>
    <w:p/>
    <w:p>
      <w:pPr>
        <w:pStyle w:val="Heading2"/>
      </w:pPr>
      <w:r>
        <w:t>FAQ</w:t>
      </w:r>
    </w:p>
    <w:p>
      <w:r>
        <w:rPr>
          <w:b/>
        </w:rPr>
        <w:t>Does a Chinese trademark certificate automatically protect my goods at export?</w:t>
      </w:r>
    </w:p>
    <w:p/>
    <w:p>
      <w:r>
        <w:t>No. The certificate establishes the right with the IP authority; proactive ex-officio customs protection additionally requires the right to be recorded with GACC.</w:t>
      </w:r>
    </w:p>
    <w:p/>
    <w:p>
      <w:r>
        <w:rPr>
          <w:b/>
        </w:rPr>
        <w:t>What is the difference between ex-officio and on-request protection?</w:t>
      </w:r>
    </w:p>
    <w:p/>
    <w:p>
      <w:r>
        <w:t>Ex-officio action is customs-initiated and requires prior recordation; an on-request application is filed by the rights holder for one specific suspect consignment.</w:t>
      </w:r>
    </w:p>
    <w:p/>
    <w:p>
      <w:r>
        <w:rPr>
          <w:b/>
        </w:rPr>
        <w:t>Which IP types can be recorded?</w:t>
      </w:r>
    </w:p>
    <w:p/>
    <w:p>
      <w:r>
        <w:t>Exclusive trademark rights, patent rights and copyright and related rights, each supported by the underlying proof of right.</w:t>
      </w:r>
    </w:p>
    <w:p/>
    <w:p>
      <w:r>
        <w:rPr>
          <w:b/>
        </w:rPr>
        <w:t>Does customs finally rule on infringement?</w:t>
      </w:r>
    </w:p>
    <w:p/>
    <w:p>
      <w:r>
        <w:t>Customs handles the border measures such as suspension and detention; the substantive validity and infringement question is decided by the competent IP authority or the court.</w:t>
      </w:r>
    </w:p>
    <w:p/>
    <w:p>
      <w:r>
        <w:rPr>
          <w:b/>
        </w:rPr>
        <w:t>Are recordation fees and bonds fixed numbers?</w:t>
      </w:r>
    </w:p>
    <w:p/>
    <w:p>
      <w:r>
        <w:t>They are set by current official provisions and assessed per matter and are time-sensitive; confirm the current amount through the official customs channel for each case.</w:t>
      </w:r>
    </w:p>
    <w:p/>
    <w:p>
      <w:pPr>
        <w:pStyle w:val="Heading2"/>
      </w:pPr>
      <w:r>
        <w:t>Sources &amp;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Source</w:t>
            </w:r>
          </w:p>
        </w:tc>
        <w:tc>
          <w:tcPr>
            <w:tcW w:type="dxa" w:w="1234"/>
          </w:tcPr>
          <w:p>
            <w:r>
              <w:t>Organization</w:t>
            </w:r>
          </w:p>
        </w:tc>
        <w:tc>
          <w:tcPr>
            <w:tcW w:type="dxa" w:w="1234"/>
          </w:tcPr>
          <w:p>
            <w:r>
              <w:t>Market</w:t>
            </w:r>
          </w:p>
        </w:tc>
        <w:tc>
          <w:tcPr>
            <w:tcW w:type="dxa" w:w="1234"/>
          </w:tcPr>
          <w:p>
            <w:r>
              <w:t>Tier</w:t>
            </w:r>
          </w:p>
        </w:tc>
        <w:tc>
          <w:tcPr>
            <w:tcW w:type="dxa" w:w="1234"/>
          </w:tcPr>
          <w:p>
            <w:r>
              <w:t>Confidence</w:t>
            </w:r>
          </w:p>
        </w:tc>
        <w:tc>
          <w:tcPr>
            <w:tcW w:type="dxa" w:w="1234"/>
          </w:tcPr>
          <w:p>
            <w:r>
              <w:t>URL</w:t>
            </w:r>
          </w:p>
        </w:tc>
        <w:tc>
          <w:tcPr>
            <w:tcW w:type="dxa" w:w="1234"/>
          </w:tcPr>
          <w:p>
            <w:r>
              <w:t>Supported facts</w:t>
            </w:r>
          </w:p>
        </w:tc>
      </w:tr>
      <w:tr>
        <w:tc>
          <w:tcPr>
            <w:tcW w:type="dxa" w:w="1234"/>
          </w:tcPr>
          <w:p>
            <w:r>
              <w:t>知识产权海关保护备案与办理路径（海关总署官方）</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http://www.customs.gov.cn/customs/2026-01/13/article_2026041015241570097.html</w:t>
            </w:r>
          </w:p>
        </w:tc>
        <w:tc>
          <w:tcPr>
            <w:tcW w:type="dxa" w:w="1234"/>
          </w:tcPr>
          <w:p>
            <w:r>
              <w:t>备案制度, 办理路径</w:t>
            </w:r>
          </w:p>
        </w:tc>
      </w:tr>
      <w:tr>
        <w:tc>
          <w:tcPr>
            <w:tcW w:type="dxa" w:w="1234"/>
          </w:tcPr>
          <w:p>
            <w:r>
              <w:t>《知识产权海关保护条例》国务院公报文本（保护模式、扣留）</w:t>
            </w:r>
          </w:p>
        </w:tc>
        <w:tc>
          <w:tcPr>
            <w:tcW w:type="dxa" w:w="1234"/>
          </w:tcPr>
          <w:p>
            <w:r>
              <w:t>中国政府网·国务院公报</w:t>
            </w:r>
          </w:p>
        </w:tc>
        <w:tc>
          <w:tcPr>
            <w:tcW w:type="dxa" w:w="1234"/>
          </w:tcPr>
          <w:p>
            <w:r>
              <w:t>CN</w:t>
            </w:r>
          </w:p>
        </w:tc>
        <w:tc>
          <w:tcPr>
            <w:tcW w:type="dxa" w:w="1234"/>
          </w:tcPr>
          <w:p>
            <w:r>
              <w:t>T1</w:t>
            </w:r>
          </w:p>
        </w:tc>
        <w:tc>
          <w:tcPr>
            <w:tcW w:type="dxa" w:w="1234"/>
          </w:tcPr>
          <w:p>
            <w:r>
              <w:t>VERIFIED</w:t>
            </w:r>
          </w:p>
        </w:tc>
        <w:tc>
          <w:tcPr>
            <w:tcW w:type="dxa" w:w="1234"/>
          </w:tcPr>
          <w:p>
            <w:r>
              <w:t>https://www.gov.cn/gongbao/content/2019/content_5468830.htm</w:t>
            </w:r>
          </w:p>
        </w:tc>
        <w:tc>
          <w:tcPr>
            <w:tcW w:type="dxa" w:w="1234"/>
          </w:tcPr>
          <w:p>
            <w:r>
              <w:t>条例依据, 保护模式, 扣留</w:t>
            </w:r>
          </w:p>
        </w:tc>
      </w:tr>
      <w:tr>
        <w:tc>
          <w:tcPr>
            <w:tcW w:type="dxa" w:w="1234"/>
          </w:tcPr>
          <w:p>
            <w:r>
              <w:t>知识产权海关保护实施办法（备案程序、担保）</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http://www.customs.gov.cn/customs/2009-04/10/article_2025121221035852278.html</w:t>
            </w:r>
          </w:p>
        </w:tc>
        <w:tc>
          <w:tcPr>
            <w:tcW w:type="dxa" w:w="1234"/>
          </w:tcPr>
          <w:p>
            <w:r>
              <w:t>实施办法, 备案程序, 担保</w:t>
            </w:r>
          </w:p>
        </w:tc>
      </w:tr>
      <w:tr>
        <w:tc>
          <w:tcPr>
            <w:tcW w:type="dxa" w:w="1234"/>
          </w:tcPr>
          <w:p>
            <w:r>
              <w:t>实施办法国务院公报文本</w:t>
            </w:r>
          </w:p>
        </w:tc>
        <w:tc>
          <w:tcPr>
            <w:tcW w:type="dxa" w:w="1234"/>
          </w:tcPr>
          <w:p>
            <w:r>
              <w:t>中国政府网·国务院公报</w:t>
            </w:r>
          </w:p>
        </w:tc>
        <w:tc>
          <w:tcPr>
            <w:tcW w:type="dxa" w:w="1234"/>
          </w:tcPr>
          <w:p>
            <w:r>
              <w:t>CN</w:t>
            </w:r>
          </w:p>
        </w:tc>
        <w:tc>
          <w:tcPr>
            <w:tcW w:type="dxa" w:w="1234"/>
          </w:tcPr>
          <w:p>
            <w:r>
              <w:t>T1</w:t>
            </w:r>
          </w:p>
        </w:tc>
        <w:tc>
          <w:tcPr>
            <w:tcW w:type="dxa" w:w="1234"/>
          </w:tcPr>
          <w:p>
            <w:r>
              <w:t>VERIFIED</w:t>
            </w:r>
          </w:p>
        </w:tc>
        <w:tc>
          <w:tcPr>
            <w:tcW w:type="dxa" w:w="1234"/>
          </w:tcPr>
          <w:p>
            <w:r>
              <w:t>https://www.gov.cn/gongbao/content/2009/content_1471720.htm</w:t>
            </w:r>
          </w:p>
        </w:tc>
        <w:tc>
          <w:tcPr>
            <w:tcW w:type="dxa" w:w="1234"/>
          </w:tcPr>
          <w:p>
            <w:r>
              <w:t>实施办法公报文本</w:t>
            </w:r>
          </w:p>
        </w:tc>
      </w:tr>
      <w:tr>
        <w:tc>
          <w:tcPr>
            <w:tcW w:type="dxa" w:w="1234"/>
          </w:tcPr>
          <w:p>
            <w:r>
              <w:t>知识产权海关保护备案系统操作说明</w:t>
            </w:r>
          </w:p>
        </w:tc>
        <w:tc>
          <w:tcPr>
            <w:tcW w:type="dxa" w:w="1234"/>
          </w:tcPr>
          <w:p>
            <w:r>
              <w:t>中华人民共和国海关总署</w:t>
            </w:r>
          </w:p>
        </w:tc>
        <w:tc>
          <w:tcPr>
            <w:tcW w:type="dxa" w:w="1234"/>
          </w:tcPr>
          <w:p>
            <w:r>
              <w:t>CN</w:t>
            </w:r>
          </w:p>
        </w:tc>
        <w:tc>
          <w:tcPr>
            <w:tcW w:type="dxa" w:w="1234"/>
          </w:tcPr>
          <w:p>
            <w:r>
              <w:t>T1</w:t>
            </w:r>
          </w:p>
        </w:tc>
        <w:tc>
          <w:tcPr>
            <w:tcW w:type="dxa" w:w="1234"/>
          </w:tcPr>
          <w:p>
            <w:r>
              <w:t>VERIFIED</w:t>
            </w:r>
          </w:p>
        </w:tc>
        <w:tc>
          <w:tcPr>
            <w:tcW w:type="dxa" w:w="1234"/>
          </w:tcPr>
          <w:p>
            <w:r>
              <w:t>http://www.customs.gov.cn/eportal/ui?pageId=374112&amp;msgDataId=f17bd6911cdb4a0eb63a832c0c3c596a</w:t>
            </w:r>
          </w:p>
        </w:tc>
        <w:tc>
          <w:tcPr>
            <w:tcW w:type="dxa" w:w="1234"/>
          </w:tcPr>
          <w:p>
            <w:r>
              <w:t>备案系统操作</w:t>
            </w:r>
          </w:p>
        </w:tc>
      </w:tr>
      <w:tr>
        <w:tc>
          <w:tcPr>
            <w:tcW w:type="dxa" w:w="1234"/>
          </w:tcPr>
          <w:p>
            <w:r>
              <w:t>知识产权海关备案实务流程与材料（贸促系统指引）</w:t>
            </w:r>
          </w:p>
        </w:tc>
        <w:tc>
          <w:tcPr>
            <w:tcW w:type="dxa" w:w="1234"/>
          </w:tcPr>
          <w:p>
            <w:r>
              <w:t>宁夏贸促会</w:t>
            </w:r>
          </w:p>
        </w:tc>
        <w:tc>
          <w:tcPr>
            <w:tcW w:type="dxa" w:w="1234"/>
          </w:tcPr>
          <w:p>
            <w:r>
              <w:t>CN</w:t>
            </w:r>
          </w:p>
        </w:tc>
        <w:tc>
          <w:tcPr>
            <w:tcW w:type="dxa" w:w="1234"/>
          </w:tcPr>
          <w:p>
            <w:r>
              <w:t>T1</w:t>
            </w:r>
          </w:p>
        </w:tc>
        <w:tc>
          <w:tcPr>
            <w:tcW w:type="dxa" w:w="1234"/>
          </w:tcPr>
          <w:p>
            <w:r>
              <w:t>VERIFIED</w:t>
            </w:r>
          </w:p>
        </w:tc>
        <w:tc>
          <w:tcPr>
            <w:tcW w:type="dxa" w:w="1234"/>
          </w:tcPr>
          <w:p>
            <w:r>
              <w:t>https://nxccpit.nx.gov.cn/xwzx/mcxx/202510/t20251031_5070879.html</w:t>
            </w:r>
          </w:p>
        </w:tc>
        <w:tc>
          <w:tcPr>
            <w:tcW w:type="dxa" w:w="1234"/>
          </w:tcPr>
          <w:p>
            <w:r>
              <w:t>实务流程, 材料</w:t>
            </w:r>
          </w:p>
        </w:tc>
      </w:tr>
      <w:tr>
        <w:tc>
          <w:tcPr>
            <w:tcW w:type="dxa" w:w="1234"/>
          </w:tcPr>
          <w:p>
            <w:r>
              <w:t>国家知识产权局（商标/专利权属登记主管机关）</w:t>
            </w:r>
          </w:p>
        </w:tc>
        <w:tc>
          <w:tcPr>
            <w:tcW w:type="dxa" w:w="1234"/>
          </w:tcPr>
          <w:p>
            <w:r>
              <w:t>国家知识产权局(CNIPA)</w:t>
            </w:r>
          </w:p>
        </w:tc>
        <w:tc>
          <w:tcPr>
            <w:tcW w:type="dxa" w:w="1234"/>
          </w:tcPr>
          <w:p>
            <w:r>
              <w:t>CN</w:t>
            </w:r>
          </w:p>
        </w:tc>
        <w:tc>
          <w:tcPr>
            <w:tcW w:type="dxa" w:w="1234"/>
          </w:tcPr>
          <w:p>
            <w:r>
              <w:t>T1</w:t>
            </w:r>
          </w:p>
        </w:tc>
        <w:tc>
          <w:tcPr>
            <w:tcW w:type="dxa" w:w="1234"/>
          </w:tcPr>
          <w:p>
            <w:r>
              <w:t>VERIFIED</w:t>
            </w:r>
          </w:p>
        </w:tc>
        <w:tc>
          <w:tcPr>
            <w:tcW w:type="dxa" w:w="1234"/>
          </w:tcPr>
          <w:p>
            <w:r>
              <w:t>https://www.cnipa.gov.cn/</w:t>
            </w:r>
          </w:p>
        </w:tc>
        <w:tc>
          <w:tcPr>
            <w:tcW w:type="dxa" w:w="1234"/>
          </w:tcPr>
          <w:p>
            <w:r>
              <w:t>商标/专利权属基础</w:t>
            </w:r>
          </w:p>
        </w:tc>
      </w:tr>
    </w:tbl>
    <w:p/>
    <w:p>
      <w:pPr>
        <w:pStyle w:val="Heading2"/>
      </w:pPr>
      <w:r>
        <w:t>Editorial Review</w:t>
      </w:r>
    </w:p>
    <w:p>
      <w:pPr>
        <w:pStyle w:val="ListBullet"/>
      </w:pPr>
      <w:r>
        <w:rPr>
          <w:b/>
        </w:rPr>
        <w:t>Author</w:t>
      </w:r>
      <w:r>
        <w:t>: AutoBridge Export Editorial Team · [authors](/authors/) · [Editorial Policy](/editorial-policy/)</w:t>
      </w:r>
    </w:p>
    <w:p>
      <w:pPr>
        <w:pStyle w:val="ListBullet"/>
      </w:pPr>
      <w:r>
        <w:rPr>
          <w:b/>
        </w:rPr>
        <w:t>Last reviewed</w:t>
      </w:r>
      <w:r>
        <w:t>: 2026-09-07</w:t>
      </w:r>
    </w:p>
    <w:p>
      <w:pPr>
        <w:pStyle w:val="ListBullet"/>
      </w:pPr>
      <w:r>
        <w:rPr>
          <w:b/>
        </w:rPr>
        <w:t>Reference market</w:t>
      </w:r>
      <w:r>
        <w:t>: CN（中国出口侧边境知识产权保护；费用/担保逐案且随当期规定变化）</w:t>
      </w:r>
    </w:p>
    <w:p>
      <w:pPr>
        <w:pStyle w:val="ListBullet"/>
      </w:pPr>
      <w:r>
        <w:rPr>
          <w:b/>
        </w:rPr>
        <w:t>Verification method</w:t>
      </w:r>
      <w:r>
        <w:t>: Desk research against the sources below; Chinese-market reference framework only. Time-sensitive items (fees, bond amounts, current recordation procedures) must be re-confirmed on the official customs page before transacting.</w:t>
      </w:r>
    </w:p>
    <w:p>
      <w:pPr>
        <w:pStyle w:val="ListBullet"/>
      </w:pPr>
      <w:r>
        <w:rPr>
          <w:b/>
        </w:rPr>
        <w:t>Transparency</w:t>
      </w:r>
      <w:r>
        <w:t>: AI-assisted drafting was used. This article is based on desk research and automated QA. No first-hand testing is claimed unless explicitly documented.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