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China-Europe Railway Express Fast Customs Transit: How the "Railway Express" Clearance Mode Works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China-Europe Railway Express Fast Transit Customs Mode | AutoBridge</w:t>
      </w:r>
    </w:p>
    <w:p>
      <w:pPr>
        <w:pStyle w:val="ListBullet"/>
      </w:pPr>
      <w:r>
        <w:rPr>
          <w:b/>
        </w:rPr>
        <w:t>Meta Description</w:t>
      </w:r>
      <w:r>
        <w:t>: How China's railway express fast-customs-transit mode works, the two declaration channels, priority inspection and manifest consolidation, and where China-side facilitation ends for vehicle cargo.</w:t>
      </w:r>
    </w:p>
    <w:p>
      <w:pPr>
        <w:pStyle w:val="ListBullet"/>
      </w:pPr>
      <w:r>
        <w:rPr>
          <w:b/>
        </w:rPr>
        <w:t>H1</w:t>
      </w:r>
      <w:r>
        <w:t>: China-Europe Railway Express Fast Customs Transit: How the "Railway Express" Clearance Mode Works</w:t>
      </w:r>
    </w:p>
    <w:p>
      <w:pPr>
        <w:pStyle w:val="ListBullet"/>
      </w:pPr>
      <w:r>
        <w:rPr>
          <w:b/>
        </w:rPr>
        <w:t>Primary Keyword</w:t>
      </w:r>
      <w:r>
        <w:t>: china europe railway express fast customs transit</w:t>
      </w:r>
    </w:p>
    <w:p>
      <w:pPr>
        <w:pStyle w:val="ListBullet"/>
      </w:pPr>
      <w:r>
        <w:rPr>
          <w:b/>
        </w:rPr>
        <w:t>Secondary Search Terms</w:t>
      </w:r>
      <w:r>
        <w:t>: 铁路快通; China Railway Express customs; through-waybill electronic data; single window rail transit; train manifest consolidation; gauge transhipment</w:t>
      </w:r>
    </w:p>
    <w:p>
      <w:pPr>
        <w:pStyle w:val="ListBullet"/>
      </w:pPr>
      <w:r>
        <w:rPr>
          <w:b/>
        </w:rPr>
        <w:t>Suggested URL</w:t>
      </w:r>
      <w:r>
        <w:t>: /guides/china-europe-railway-express-fast-customs-transit/</w:t>
      </w:r>
    </w:p>
    <w:p>
      <w:pPr>
        <w:pStyle w:val="ListBullet"/>
      </w:pPr>
      <w:r>
        <w:rPr>
          <w:b/>
        </w:rPr>
        <w:t>Search Intent</w:t>
      </w:r>
      <w:r>
        <w:t>: 铁路快通模式如何实现境内数据传输一次性申报、两条申请通道与便利化措施，中国侧与境外段边界</w:t>
      </w:r>
    </w:p>
    <w:p>
      <w:pPr>
        <w:pStyle w:val="ListBullet"/>
      </w:pPr>
      <w:r>
        <w:rPr>
          <w:b/>
        </w:rPr>
        <w:t>Internal Link Suggestions</w:t>
      </w:r>
      <w:r>
        <w:t>: /guides/china-e-port-enrollment-ic-card-operator/, /guides/marine-cargo-insurance-icc-incoterms/, /guides/comprehensive-bonded-zone-vat-refund-export/</w:t>
      </w:r>
    </w:p>
    <w:p>
      <w:pPr>
        <w:pStyle w:val="ListBullet"/>
      </w:pPr>
      <w:r>
        <w:rPr>
          <w:b/>
        </w:rPr>
        <w:t>Image Suggestion</w:t>
      </w:r>
      <w:r>
        <w:t>: A container train at a rail port while an operator reviews an electronic through-waybill</w:t>
      </w:r>
    </w:p>
    <w:p>
      <w:pPr>
        <w:pStyle w:val="ListBullet"/>
      </w:pPr>
      <w:r>
        <w:rPr>
          <w:b/>
        </w:rPr>
        <w:t>ALT Suggestion</w:t>
      </w:r>
      <w:r>
        <w:t>: Stacked containers on a China-Europe freight train beside a waybill on a tablet</w:t>
      </w:r>
    </w:p>
    <w:p>
      <w:pPr>
        <w:pStyle w:val="ListBullet"/>
      </w:pPr>
      <w:r>
        <w:rPr>
          <w:b/>
        </w:rPr>
        <w:t>Schema Scope</w:t>
      </w:r>
      <w:r>
        <w:t>: Article (no Product/Offer/Price/Review/Rating)</w:t>
      </w:r>
    </w:p>
    <w:p/>
    <w:p>
      <w:r>
        <w:t>Rail is an increasingly relevant lane for vehicles, knock-down kits and parts bound for Eurasia, and China has built a dedicated facilitation mode around the China-Europe Railway Express: the railway "fast transit" (铁路快通) customs arrangement. The mode attacks a specific bottleneck — repeated transit declarations and paper waybills at each domestic rail port — by letting electronic through-waybill data drive a single, data-transmitted declaration. This guide explains what the mode changes, the two channels for using it, the facilitation it provides, and the exact point at which China-side facilitation ends and per-route overseas verification must begin. It does not quote freight rates, schedules or loading-gauge figures, which are route-, carrier- and cargo-specific.</w:t>
      </w:r>
    </w:p>
    <w:p/>
    <w:p>
      <w:pPr>
        <w:pStyle w:val="Heading2"/>
      </w:pPr>
      <w:r>
        <w:t>The bottleneck the mode removes</w:t>
      </w:r>
    </w:p>
    <w:p/>
    <w:p>
      <w:r>
        <w:t>Without fast transit, a rail consignment crossing domestic rail ports can face repeated transit-formality handling and paper-based waybill exchange, adding dwell time at border rail hubs. Fast transit reorganises this around data: the domestic railway carrier transmits the through-waybill electronic data, allowing the transit declaration to be made on a one-time, data-driven basis. The mode was progressively rolled out to rail ports nationwide from 2021, replacing fragmented pilot handling with a standard domestic approach.</w:t>
      </w:r>
    </w:p>
    <w:p/>
    <w:p>
      <w:pPr>
        <w:pStyle w:val="Heading2"/>
      </w:pPr>
      <w:r>
        <w:t>Two channels to invoke the mode</w:t>
      </w:r>
    </w:p>
    <w:p/>
    <w:p>
      <w:r>
        <w:t>An exporter or forwarder should understand that fast transit can be triggered through either of two channels:</w:t>
      </w:r>
    </w:p>
    <w:p/>
    <w:p>
      <w:pPr>
        <w:pStyle w:val="ListNumber"/>
      </w:pPr>
      <w:r>
        <w:rPr>
          <w:b/>
        </w:rPr>
        <w:t>Railway-enterprise "head-to-head" data transmission.</w:t>
      </w:r>
      <w:r>
        <w:t xml:space="preserve"> The railway authority/domestic carrier transmits the combined-transport waybill electronic data to customs on an enterprise-to-authority ("总对总") basis, which is the most automated route when the chosen train service supports it.</w:t>
      </w:r>
    </w:p>
    <w:p>
      <w:pPr>
        <w:pStyle w:val="ListNumber"/>
      </w:pPr>
      <w:r>
        <w:rPr>
          <w:b/>
        </w:rPr>
        <w:t>Enterprise declaration via the Single Window.</w:t>
      </w:r>
      <w:r>
        <w:t xml:space="preserve"> Where the first channel is not used, the enterprise may lodge the transit declaration itself through the China International Trade Single Window.</w:t>
      </w:r>
    </w:p>
    <w:p/>
    <w:p>
      <w:r>
        <w:t>Which channel applies depends on the train service, the departure rail port and the operating carrier; this is a concrete item to confirm when booking rather than assume.</w:t>
      </w:r>
    </w:p>
    <w:p/>
    <w:p>
      <w:pPr>
        <w:pStyle w:val="Heading2"/>
      </w:pPr>
      <w:r>
        <w:t>The facilitation measures that follow</w:t>
      </w:r>
    </w:p>
    <w:p/>
    <w:p>
      <w:r>
        <w:t xml:space="preserve">Once a consignment is under the fast-transit mode, customs facilitation includes </w:t>
      </w:r>
      <w:r>
        <w:rPr>
          <w:b/>
        </w:rPr>
        <w:t>priority inspection</w:t>
      </w:r>
      <w:r>
        <w:t xml:space="preserve">, </w:t>
      </w:r>
      <w:r>
        <w:rPr>
          <w:b/>
        </w:rPr>
        <w:t>permission to tranship/reload</w:t>
      </w:r>
      <w:r>
        <w:t xml:space="preserve"> (换装) as part of the transit flow, and </w:t>
      </w:r>
      <w:r>
        <w:rPr>
          <w:b/>
        </w:rPr>
        <w:t>manifest consolidation</w:t>
      </w:r>
      <w:r>
        <w:t xml:space="preserve"> (舱单归并) so that grouped rail cargo does not generate redundant parallel filings. For a shipper moving many containers of parts or knock-down units on one train, manifest consolidation and priority handling are where the practical time saving appears. These are facilitation measures, however, not a waiver of compliance: the goods, licences and commodity requirements that apply to any export still apply.</w:t>
      </w:r>
    </w:p>
    <w:p/>
    <w:p>
      <w:pPr>
        <w:pStyle w:val="Heading2"/>
      </w:pPr>
      <w:r>
        <w:t>Where China-side facilitation ends</w:t>
      </w:r>
    </w:p>
    <w:p/>
    <w:p>
      <w:r>
        <w:t>A disciplined exporter draws a clear line between the Chinese and overseas segments.</w:t>
      </w:r>
    </w:p>
    <w:p/>
    <w:p>
      <w:pPr>
        <w:pStyle w:val="ListBullet"/>
      </w:pPr>
      <w:r>
        <w:rPr>
          <w:b/>
        </w:rPr>
        <w:t>China side (covered by this mode):</w:t>
      </w:r>
      <w:r>
        <w:t xml:space="preserve"> domestic data transmission, the one-time transit declaration, priority inspection, permitted transhipment and manifest consolidation at Chinese rail ports.</w:t>
      </w:r>
    </w:p>
    <w:p>
      <w:pPr>
        <w:pStyle w:val="ListBullet"/>
      </w:pPr>
      <w:r>
        <w:rPr>
          <w:b/>
        </w:rPr>
        <w:t>Overseas segment (single-source / route-specific):</w:t>
      </w:r>
      <w:r>
        <w:t xml:space="preserve"> broad-gauge versus standard-gauge </w:t>
      </w:r>
      <w:r>
        <w:rPr>
          <w:b/>
        </w:rPr>
        <w:t>wheelset or bogie transfer</w:t>
      </w:r>
      <w:r>
        <w:t xml:space="preserve"> at the frontier, and onward衔接 through each country along the corridor, depend on the specific corridor, the overseas railways and each country's own customs treatment. These must be confirmed </w:t>
      </w:r>
      <w:r>
        <w:rPr>
          <w:b/>
        </w:rPr>
        <w:t>route by route</w:t>
      </w:r>
      <w:r>
        <w:t>; the Chinese fast-transit mode does not determine them.</w:t>
      </w:r>
    </w:p>
    <w:p/>
    <w:p>
      <w:r>
        <w:t>Critically, this guide stays on the China side: it does not state clearance duties, import taxes or restrictions in transit or destination countries, and it does not supply loading-gauge dimensions or lashing values for vehicles. Those belong to route-specific carrier and overseas-authority verification. A vehicle that fits a Chinese rail flatcar is not automatically cleared or dimensionally cleared for every downstream railway.</w:t>
      </w:r>
    </w:p>
    <w:p/>
    <w:p>
      <w:pPr>
        <w:pStyle w:val="Heading2"/>
      </w:pPr>
      <w:r>
        <w:t>Operating checklist for a vehicle/parts rail shipment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What to confirm</w:t>
            </w:r>
          </w:p>
        </w:tc>
      </w:tr>
      <w:tr>
        <w:tc>
          <w:tcPr>
            <w:tcW w:type="dxa" w:w="4320"/>
          </w:tcPr>
          <w:p>
            <w:r>
              <w:t>Channel selection</w:t>
            </w:r>
          </w:p>
        </w:tc>
        <w:tc>
          <w:tcPr>
            <w:tcW w:type="dxa" w:w="4320"/>
          </w:tcPr>
          <w:p>
            <w:r>
              <w:t>Confirm whether the train service supports railway head-to-head data transmission or whether you declare via the Single Window.</w:t>
            </w:r>
          </w:p>
        </w:tc>
      </w:tr>
      <w:tr>
        <w:tc>
          <w:tcPr>
            <w:tcW w:type="dxa" w:w="4320"/>
          </w:tcPr>
          <w:p>
            <w:r>
              <w:t>Data readiness</w:t>
            </w:r>
          </w:p>
        </w:tc>
        <w:tc>
          <w:tcPr>
            <w:tcW w:type="dxa" w:w="4320"/>
          </w:tcPr>
          <w:p>
            <w:r>
              <w:t>Ensure through-waybill, commercial and licence data are complete before the train departs; the mode is data-driven.</w:t>
            </w:r>
          </w:p>
        </w:tc>
      </w:tr>
      <w:tr>
        <w:tc>
          <w:tcPr>
            <w:tcW w:type="dxa" w:w="4320"/>
          </w:tcPr>
          <w:p>
            <w:r>
              <w:t>Facilitation used correctly</w:t>
            </w:r>
          </w:p>
        </w:tc>
        <w:tc>
          <w:tcPr>
            <w:tcW w:type="dxa" w:w="4320"/>
          </w:tcPr>
          <w:p>
            <w:r>
              <w:t>Use priority inspection, permitted transhipment and manifest consolidation as offered at the actual rail port.</w:t>
            </w:r>
          </w:p>
        </w:tc>
      </w:tr>
      <w:tr>
        <w:tc>
          <w:tcPr>
            <w:tcW w:type="dxa" w:w="4320"/>
          </w:tcPr>
          <w:p>
            <w:r>
              <w:t>Gauge transfer planned</w:t>
            </w:r>
          </w:p>
        </w:tc>
        <w:tc>
          <w:tcPr>
            <w:tcW w:type="dxa" w:w="4320"/>
          </w:tcPr>
          <w:p>
            <w:r>
              <w:t>Treat frontier broad/standard-gauge transfer as an overseas-segment task; confirm the method and cost route by route.</w:t>
            </w:r>
          </w:p>
        </w:tc>
      </w:tr>
      <w:tr>
        <w:tc>
          <w:tcPr>
            <w:tcW w:type="dxa" w:w="4320"/>
          </w:tcPr>
          <w:p>
            <w:r>
              <w:t>Per-country treatment</w:t>
            </w:r>
          </w:p>
        </w:tc>
        <w:tc>
          <w:tcPr>
            <w:tcW w:type="dxa" w:w="4320"/>
          </w:tcPr>
          <w:p>
            <w:r>
              <w:t>Verify each transit/destination country's customs and tax treatment separately — do not infer it from the Chinese mode.</w:t>
            </w:r>
          </w:p>
        </w:tc>
      </w:tr>
      <w:tr>
        <w:tc>
          <w:tcPr>
            <w:tcW w:type="dxa" w:w="4320"/>
          </w:tcPr>
          <w:p>
            <w:r>
              <w:t>Cargo fit</w:t>
            </w:r>
          </w:p>
        </w:tc>
        <w:tc>
          <w:tcPr>
            <w:tcW w:type="dxa" w:w="4320"/>
          </w:tcPr>
          <w:p>
            <w:r>
              <w:t>Confirm loading gauge, securing and any vehicle-specific rail constraints with the carrier; no generic numeric limit is assumed here.</w:t>
            </w:r>
          </w:p>
        </w:tc>
      </w:tr>
    </w:tbl>
    <w:p/>
    <w:p>
      <w:pPr>
        <w:pStyle w:val="Heading2"/>
      </w:pPr>
      <w:r>
        <w:t>FAQ</w:t>
      </w:r>
    </w:p>
    <w:p>
      <w:r>
        <w:rPr>
          <w:b/>
        </w:rPr>
        <w:t>What problem does railway fast transit solve?</w:t>
      </w:r>
    </w:p>
    <w:p/>
    <w:p>
      <w:r>
        <w:t>It replaces repeated paper transit handling at domestic rail ports with a one-time, data-driven transit declaration built on electronic through-waybill data.</w:t>
      </w:r>
    </w:p>
    <w:p/>
    <w:p>
      <w:r>
        <w:rPr>
          <w:b/>
        </w:rPr>
        <w:t>What are the two ways to use it?</w:t>
      </w:r>
    </w:p>
    <w:p/>
    <w:p>
      <w:r>
        <w:t>Either the domestic railway carrier transmits combined-waybill data head-to-head with customs, or the enterprise declares through the Single Window — depending on the service and rail port.</w:t>
      </w:r>
    </w:p>
    <w:p/>
    <w:p>
      <w:r>
        <w:rPr>
          <w:b/>
        </w:rPr>
        <w:t>What facilitation does it provide?</w:t>
      </w:r>
    </w:p>
    <w:p/>
    <w:p>
      <w:r>
        <w:t>Priority inspection, permitted transhipment/reload and manifest consolidation for grouped rail cargo.</w:t>
      </w:r>
    </w:p>
    <w:p/>
    <w:p>
      <w:r>
        <w:rPr>
          <w:b/>
        </w:rPr>
        <w:t>Does it cover clearance in countries along the route?</w:t>
      </w:r>
    </w:p>
    <w:p/>
    <w:p>
      <w:r>
        <w:t>No. Overseas gauge transfer and each country's clearance and tax treatment are route-specific and must be verified separately; this guide covers the China-side mode only.</w:t>
      </w:r>
    </w:p>
    <w:p/>
    <w:p>
      <w:r>
        <w:rPr>
          <w:b/>
        </w:rPr>
        <w:t>Does this article quote rates or loading limits?</w:t>
      </w:r>
    </w:p>
    <w:p/>
    <w:p>
      <w:r>
        <w:t>No. Freight rates, schedules, loading-gauge and lashing values are route-, carrier- and cargo-specific and must be obtained from the carrier for the actual shipment.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铁路快通监管办法（申报、舱单）官方文件</w:t>
            </w:r>
          </w:p>
        </w:tc>
        <w:tc>
          <w:tcPr>
            <w:tcW w:type="dxa" w:w="1234"/>
          </w:tcPr>
          <w:p>
            <w:r>
              <w:t>中华人民共和国海关总署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http://www.customs.gov.cn/eportal/fileDir/customs/resource/cms/article/2480148/3512888/2021011510415823080.pdf</w:t>
            </w:r>
          </w:p>
        </w:tc>
        <w:tc>
          <w:tcPr>
            <w:tcW w:type="dxa" w:w="1234"/>
          </w:tcPr>
          <w:p>
            <w:r>
              <w:t>铁路快通, 申报, 舱单</w:t>
            </w:r>
          </w:p>
        </w:tc>
      </w:tr>
      <w:tr>
        <w:tc>
          <w:tcPr>
            <w:tcW w:type="dxa" w:w="1234"/>
          </w:tcPr>
          <w:p>
            <w:r>
              <w:t>铁路快通适用范围</w:t>
            </w:r>
          </w:p>
        </w:tc>
        <w:tc>
          <w:tcPr>
            <w:tcW w:type="dxa" w:w="1234"/>
          </w:tcPr>
          <w:p>
            <w:r>
              <w:t>中华人民共和国海关总署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http://www.customs.gov.cn/customs/2021-01/18/article_2025121221021893003.html</w:t>
            </w:r>
          </w:p>
        </w:tc>
        <w:tc>
          <w:tcPr>
            <w:tcW w:type="dxa" w:w="1234"/>
          </w:tcPr>
          <w:p>
            <w:r>
              <w:t>铁路快通, 适用范围</w:t>
            </w:r>
          </w:p>
        </w:tc>
      </w:tr>
      <w:tr>
        <w:tc>
          <w:tcPr>
            <w:tcW w:type="dxa" w:w="1234"/>
          </w:tcPr>
          <w:p>
            <w:r>
              <w:t>快通申请方式（总对总/单一窗口）</w:t>
            </w:r>
          </w:p>
        </w:tc>
        <w:tc>
          <w:tcPr>
            <w:tcW w:type="dxa" w:w="1234"/>
          </w:tcPr>
          <w:p>
            <w:r>
              <w:t>中华人民共和国海关总署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http://www.customs.gov.cn/customs/2026-05/22/article_2026052209172574222.html</w:t>
            </w:r>
          </w:p>
        </w:tc>
        <w:tc>
          <w:tcPr>
            <w:tcW w:type="dxa" w:w="1234"/>
          </w:tcPr>
          <w:p>
            <w:r>
              <w:t>申请方式, 总对总, 单一窗口</w:t>
            </w:r>
          </w:p>
        </w:tc>
      </w:tr>
      <w:tr>
        <w:tc>
          <w:tcPr>
            <w:tcW w:type="dxa" w:w="1234"/>
          </w:tcPr>
          <w:p>
            <w:r>
              <w:t>中欧班列便利化（优先查验/换装/舱单归并）</w:t>
            </w:r>
          </w:p>
        </w:tc>
        <w:tc>
          <w:tcPr>
            <w:tcW w:type="dxa" w:w="1234"/>
          </w:tcPr>
          <w:p>
            <w:r>
              <w:t>中华人民共和国海关总署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http://www.customs.gov.cn/customs/2021-09/13/article_2025121223212110432.html</w:t>
            </w:r>
          </w:p>
        </w:tc>
        <w:tc>
          <w:tcPr>
            <w:tcW w:type="dxa" w:w="1234"/>
          </w:tcPr>
          <w:p>
            <w:r>
              <w:t>中欧班列, 便利化</w:t>
            </w:r>
          </w:p>
        </w:tc>
      </w:tr>
      <w:tr>
        <w:tc>
          <w:tcPr>
            <w:tcW w:type="dxa" w:w="1234"/>
          </w:tcPr>
          <w:p>
            <w:r>
              <w:t>中国国家铁路集团（境内承运与总对总数据传输主体）</w:t>
            </w:r>
          </w:p>
        </w:tc>
        <w:tc>
          <w:tcPr>
            <w:tcW w:type="dxa" w:w="1234"/>
          </w:tcPr>
          <w:p>
            <w:r>
              <w:t>中国国家铁路集团有限公司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https://www.china-railway.com.cn/</w:t>
            </w:r>
          </w:p>
        </w:tc>
        <w:tc>
          <w:tcPr>
            <w:tcW w:type="dxa" w:w="1234"/>
          </w:tcPr>
          <w:p>
            <w:r>
              <w:t>铁路承运与数据传输</w:t>
            </w:r>
          </w:p>
        </w:tc>
      </w:tr>
      <w:tr>
        <w:tc>
          <w:tcPr>
            <w:tcW w:type="dxa" w:w="1234"/>
          </w:tcPr>
          <w:p>
            <w:r>
              <w:t>中欧班列优化背景（媒体，背景）</w:t>
            </w:r>
          </w:p>
        </w:tc>
        <w:tc>
          <w:tcPr>
            <w:tcW w:type="dxa" w:w="1234"/>
          </w:tcPr>
          <w:p>
            <w:r>
              <w:t>央视网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https://news.cctv.com/2023/12/11/ARTIcgpxNQI63FESYTqeTWId231211.shtml</w:t>
            </w:r>
          </w:p>
        </w:tc>
        <w:tc>
          <w:tcPr>
            <w:tcW w:type="dxa" w:w="1234"/>
          </w:tcPr>
          <w:p>
            <w:r>
              <w:t>优化背景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2026-09-07</w:t>
      </w:r>
    </w:p>
    <w:p>
      <w:pPr>
        <w:pStyle w:val="ListBullet"/>
      </w:pPr>
      <w:r>
        <w:rPr>
          <w:b/>
        </w:rPr>
        <w:t>Reference market</w:t>
      </w:r>
      <w:r>
        <w:t>: CN（中国侧铁路快通监管；境外段换装与沿线清关逐线确认，不含运价/时刻/装载限界数值）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China-side reference framework only. Overseas gauge transfer, per-country clearance/tax, routes, schedules, freight rates and cargo loading limits must be confirmed route by route with the carrier and overseas authorities before transacting.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