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Returned Export Goods in China: The One-Year Duty Exemption and the Separate Six-Month E-Commerce Track</w:t>
      </w:r>
    </w:p>
    <w:p>
      <w:pPr>
        <w:pStyle w:val="Heading2"/>
      </w:pPr>
      <w:r>
        <w:t>SEO Metadata</w:t>
      </w:r>
    </w:p>
    <w:p>
      <w:pPr>
        <w:pStyle w:val="ListBullet"/>
      </w:pPr>
      <w:r>
        <w:rPr>
          <w:b/>
        </w:rPr>
        <w:t>SEO Title</w:t>
      </w:r>
      <w:r>
        <w:t>: China Returned Export Goods Duty Exemption (One-Year &amp; CBEC Rules) | AutoBridge</w:t>
      </w:r>
    </w:p>
    <w:p>
      <w:pPr>
        <w:pStyle w:val="ListBullet"/>
      </w:pPr>
      <w:r>
        <w:rPr>
          <w:b/>
        </w:rPr>
        <w:t>Meta Description</w:t>
      </w:r>
      <w:r>
        <w:t>: When Chinese export goods returned within one year for quality or specification reasons re-enter duty-free under GACC Order 272, the separate cross-border e-commerce six-month rule, and what 'original state' requires.</w:t>
      </w:r>
    </w:p>
    <w:p>
      <w:pPr>
        <w:pStyle w:val="ListBullet"/>
      </w:pPr>
      <w:r>
        <w:rPr>
          <w:b/>
        </w:rPr>
        <w:t>H1</w:t>
      </w:r>
      <w:r>
        <w:t>: Returned Export Goods in China: The One-Year Duty Exemption and the Separate Six-Month E-Commerce Track</w:t>
      </w:r>
    </w:p>
    <w:p>
      <w:pPr>
        <w:pStyle w:val="ListBullet"/>
      </w:pPr>
      <w:r>
        <w:rPr>
          <w:b/>
        </w:rPr>
        <w:t>Primary Keyword</w:t>
      </w:r>
      <w:r>
        <w:t>: export returned goods duty exemption regulation china</w:t>
      </w:r>
    </w:p>
    <w:p>
      <w:pPr>
        <w:pStyle w:val="ListBullet"/>
      </w:pPr>
      <w:r>
        <w:rPr>
          <w:b/>
        </w:rPr>
        <w:t>Secondary Search Terms</w:t>
      </w:r>
      <w:r>
        <w:t>: 退运货物免税; GACC Order 272 article 49; returned export goods one year; cross-border ecommerce returned goods six months; original state re-import</w:t>
      </w:r>
    </w:p>
    <w:p>
      <w:pPr>
        <w:pStyle w:val="ListBullet"/>
      </w:pPr>
      <w:r>
        <w:rPr>
          <w:b/>
        </w:rPr>
        <w:t>Suggested URL</w:t>
      </w:r>
      <w:r>
        <w:t>: /guides/export-returned-goods-duty-exemption-regulation/</w:t>
      </w:r>
    </w:p>
    <w:p>
      <w:pPr>
        <w:pStyle w:val="ListBullet"/>
      </w:pPr>
      <w:r>
        <w:rPr>
          <w:b/>
        </w:rPr>
        <w:t>Search Intent</w:t>
      </w:r>
      <w:r>
        <w:t>: 出口退运货物一年内原状复运进境免税规则与跨境电商6个月退运的区别、原状认定与已退税补缴</w:t>
      </w:r>
    </w:p>
    <w:p>
      <w:pPr>
        <w:pStyle w:val="ListBullet"/>
      </w:pPr>
      <w:r>
        <w:rPr>
          <w:b/>
        </w:rPr>
        <w:t>Internal Link Suggestions</w:t>
      </w:r>
      <w:r>
        <w:t>: /guides/cross-border-ecommerce-b2b-export-9710-9810/, /guides/customs-voluntary-disclosure-audit-tolerance/, /guides/comprehensive-bonded-zone-vat-refund-export/</w:t>
      </w:r>
    </w:p>
    <w:p>
      <w:pPr>
        <w:pStyle w:val="ListBullet"/>
      </w:pPr>
      <w:r>
        <w:rPr>
          <w:b/>
        </w:rPr>
        <w:t>Image Suggestion</w:t>
      </w:r>
      <w:r>
        <w:t>: A returned export vehicle part being inspected against its original export documentation</w:t>
      </w:r>
    </w:p>
    <w:p>
      <w:pPr>
        <w:pStyle w:val="ListBullet"/>
      </w:pPr>
      <w:r>
        <w:rPr>
          <w:b/>
        </w:rPr>
        <w:t>ALT Suggestion</w:t>
      </w:r>
      <w:r>
        <w:t>: Returned cargo under inspection beside the original export declaration paperwork</w:t>
      </w:r>
    </w:p>
    <w:p>
      <w:pPr>
        <w:pStyle w:val="ListBullet"/>
      </w:pPr>
      <w:r>
        <w:rPr>
          <w:b/>
        </w:rPr>
        <w:t>Schema Scope</w:t>
      </w:r>
      <w:r>
        <w:t>: Article (no Product/Offer/Price/Review/Rating)</w:t>
      </w:r>
    </w:p>
    <w:p/>
    <w:p>
      <w:r>
        <w:t>When exported goods come back to China — a rejected batch of parts, a vehicle that failed destination acceptance, unsold e-commerce stock — the default assumption is that re-import is a taxable event. Chinese customs rules provide a specific exemption, but it is tightly conditioned on why the goods return, how long they were abroad, and whether they come back in their original state. Exporters who miss any condition pay import duty and import-stage taxes on goods they originally made in China. This guide separates the general one-year rule from the distinct cross-border e-commerce six-month track, explains "original state", and flags where a rebate already claimed must be paid back.</w:t>
      </w:r>
    </w:p>
    <w:p/>
    <w:p>
      <w:pPr>
        <w:pStyle w:val="Heading2"/>
      </w:pPr>
      <w:r>
        <w:t>The general rule: one year, quality/specification reasons, original state</w:t>
      </w:r>
    </w:p>
    <w:p/>
    <w:p>
      <w:r>
        <w:t xml:space="preserve">Under the Administrative Measures for the Levy and Collection of Customs Duties (General Administration of Customs of China Order No.272), </w:t>
      </w:r>
      <w:r>
        <w:rPr>
          <w:b/>
        </w:rPr>
        <w:t>Article 49</w:t>
      </w:r>
      <w:r>
        <w:t xml:space="preserve">, goods that are re-imported </w:t>
      </w:r>
      <w:r>
        <w:rPr>
          <w:b/>
        </w:rPr>
        <w:t>within one year</w:t>
      </w:r>
      <w:r>
        <w:t xml:space="preserve"> of export, for </w:t>
      </w:r>
      <w:r>
        <w:rPr>
          <w:b/>
        </w:rPr>
        <w:t>quality or specification reasons</w:t>
      </w:r>
      <w:r>
        <w:t xml:space="preserve">, and in their </w:t>
      </w:r>
      <w:r>
        <w:rPr>
          <w:b/>
        </w:rPr>
        <w:t>original state</w:t>
      </w:r>
      <w:r>
        <w:t xml:space="preserve">, may be brought back without import customs duty and import-stage taxes on re-entry. The current measures took effect on </w:t>
      </w:r>
      <w:r>
        <w:rPr>
          <w:b/>
        </w:rPr>
        <w:t>1 December 2024</w:t>
      </w:r>
      <w:r>
        <w:t>.</w:t>
      </w:r>
    </w:p>
    <w:p/>
    <w:p>
      <w:r>
        <w:t>Three conditions are conjunctive — all three must hold:</w:t>
      </w:r>
    </w:p>
    <w:p/>
    <w:p>
      <w:pPr>
        <w:pStyle w:val="ListBullet"/>
      </w:pPr>
      <w:r>
        <w:rPr>
          <w:b/>
        </w:rPr>
        <w:t>Reason.</w:t>
      </w:r>
      <w:r>
        <w:t xml:space="preserve"> The return is attributable to quality or specification problems, not to a change of commercial mind or ordinary resale routing.</w:t>
      </w:r>
    </w:p>
    <w:p>
      <w:pPr>
        <w:pStyle w:val="ListBullet"/>
      </w:pPr>
      <w:r>
        <w:rPr>
          <w:b/>
        </w:rPr>
        <w:t>Time.</w:t>
      </w:r>
      <w:r>
        <w:t xml:space="preserve"> Re-entry occurs within one year from the date of export.</w:t>
      </w:r>
    </w:p>
    <w:p>
      <w:pPr>
        <w:pStyle w:val="ListBullet"/>
      </w:pPr>
      <w:r>
        <w:rPr>
          <w:b/>
        </w:rPr>
        <w:t>State.</w:t>
      </w:r>
      <w:r>
        <w:t xml:space="preserve"> The goods are unused, unprocessed and retain the state in which they were exported.</w:t>
      </w:r>
    </w:p>
    <w:p/>
    <w:p>
      <w:r>
        <w:t>This is not a blanket "anything Chinese comes home free" rule; a consignment that was sold, used, assembled or modified abroad does not meet the original-state condition.</w:t>
      </w:r>
    </w:p>
    <w:p/>
    <w:p>
      <w:pPr>
        <w:pStyle w:val="Heading2"/>
      </w:pPr>
      <w:r>
        <w:t>"Original state" is a customs determination, not a shipper label</w:t>
      </w:r>
    </w:p>
    <w:p/>
    <w:p>
      <w:r>
        <w:t>Whether returned goods are in their original state is assessed by customs against the facts (cross-checked across the measures and operational guidance). As a working definition the goods should not have been used or processed overseas and should preserve their export-time condition, allowing for normal transport handling. Packaging can be opened for inspection; the substantive product should not have been consumed, installed into another good, remanufactured or substantially altered. Because the determination is case-specific, an exporter should preserve the original export declaration, B/L, the overseas rejection/quality evidence and photographs that connect the returning goods to the original export batch.</w:t>
      </w:r>
    </w:p>
    <w:p/>
    <w:p>
      <w:pPr>
        <w:pStyle w:val="Heading2"/>
      </w:pPr>
      <w:r>
        <w:t>The rebate clawback that is easy to miss</w:t>
      </w:r>
    </w:p>
    <w:p/>
    <w:p>
      <w:r>
        <w:t xml:space="preserve">If an export VAT rebate was already drawn down when the goods left China, bringing them back under the exemption is not double benefit. The rebate attributable to the returned goods must be </w:t>
      </w:r>
      <w:r>
        <w:rPr>
          <w:b/>
        </w:rPr>
        <w:t>paid back / reversed</w:t>
      </w:r>
      <w:r>
        <w:t xml:space="preserve"> in line with the tax procedure. Exporters should coordinate the customs return filing with their tax handling so that the duty exemption at re-entry and the rebate reversal are consistent — claiming the re-entry exemption while retaining the export rebate is the error that audits target.</w:t>
      </w:r>
    </w:p>
    <w:p/>
    <w:p>
      <w:pPr>
        <w:pStyle w:val="Heading2"/>
      </w:pPr>
      <w:r>
        <w:t>The separate cross-border e-commerce track: six months, defined supervision codes</w:t>
      </w:r>
    </w:p>
    <w:p/>
    <w:p>
      <w:r>
        <w:t xml:space="preserve">Cross-border e-commerce returns run on their own schedule and should not be confused with the general one-year rule. For goods exported under the cross-border e-commerce supervision codes </w:t>
      </w:r>
      <w:r>
        <w:rPr>
          <w:b/>
        </w:rPr>
        <w:t>1210, 9610, 9710 and 9810</w:t>
      </w:r>
      <w:r>
        <w:t xml:space="preserve"> that return in their original state within </w:t>
      </w:r>
      <w:r>
        <w:rPr>
          <w:b/>
        </w:rPr>
        <w:t>six months</w:t>
      </w:r>
      <w:r>
        <w:t xml:space="preserve">, a duty/tax exemption applies on re-entry. This special arrangement has a defined execution period of </w:t>
      </w:r>
      <w:r>
        <w:rPr>
          <w:b/>
        </w:rPr>
        <w:t>1 January 2026 to 31 December 2027</w:t>
      </w:r>
      <w:r>
        <w:t xml:space="preserve"> (time-sensitive — confirm the current operative notice before relying on it). Note the contrast: six months rather than one year, tied to specific e-commerce codes, and bounded by an explicit policy period.</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General returned-goods rule</w:t>
            </w:r>
          </w:p>
        </w:tc>
        <w:tc>
          <w:tcPr>
            <w:tcW w:type="dxa" w:w="2880"/>
          </w:tcPr>
          <w:p>
            <w:r>
              <w:t>Cross-border e-commerce track</w:t>
            </w:r>
          </w:p>
        </w:tc>
      </w:tr>
      <w:tr>
        <w:tc>
          <w:tcPr>
            <w:tcW w:type="dxa" w:w="2880"/>
          </w:tcPr>
          <w:p>
            <w:r>
              <w:t>Legal basis</w:t>
            </w:r>
          </w:p>
        </w:tc>
        <w:tc>
          <w:tcPr>
            <w:tcW w:type="dxa" w:w="2880"/>
          </w:tcPr>
          <w:p>
            <w:r>
              <w:t>GACC Order No.272, Article 49</w:t>
            </w:r>
          </w:p>
        </w:tc>
        <w:tc>
          <w:tcPr>
            <w:tcW w:type="dxa" w:w="2880"/>
          </w:tcPr>
          <w:p>
            <w:r>
              <w:t>CBEC-specific return notice (time-limited)</w:t>
            </w:r>
          </w:p>
        </w:tc>
      </w:tr>
      <w:tr>
        <w:tc>
          <w:tcPr>
            <w:tcW w:type="dxa" w:w="2880"/>
          </w:tcPr>
          <w:p>
            <w:r>
              <w:t>Trigger reason</w:t>
            </w:r>
          </w:p>
        </w:tc>
        <w:tc>
          <w:tcPr>
            <w:tcW w:type="dxa" w:w="2880"/>
          </w:tcPr>
          <w:p>
            <w:r>
              <w:t>Quality / specification reasons</w:t>
            </w:r>
          </w:p>
        </w:tc>
        <w:tc>
          <w:tcPr>
            <w:tcW w:type="dxa" w:w="2880"/>
          </w:tcPr>
          <w:p>
            <w:r>
              <w:t>Returns under the e-commerce model</w:t>
            </w:r>
          </w:p>
        </w:tc>
      </w:tr>
      <w:tr>
        <w:tc>
          <w:tcPr>
            <w:tcW w:type="dxa" w:w="2880"/>
          </w:tcPr>
          <w:p>
            <w:r>
              <w:t>Time limit</w:t>
            </w:r>
          </w:p>
        </w:tc>
        <w:tc>
          <w:tcPr>
            <w:tcW w:type="dxa" w:w="2880"/>
          </w:tcPr>
          <w:p>
            <w:r>
              <w:t>Within 1 year of export</w:t>
            </w:r>
          </w:p>
        </w:tc>
        <w:tc>
          <w:tcPr>
            <w:tcW w:type="dxa" w:w="2880"/>
          </w:tcPr>
          <w:p>
            <w:r>
              <w:t>Within 6 months</w:t>
            </w:r>
          </w:p>
        </w:tc>
      </w:tr>
      <w:tr>
        <w:tc>
          <w:tcPr>
            <w:tcW w:type="dxa" w:w="2880"/>
          </w:tcPr>
          <w:p>
            <w:r>
              <w:t>Codes covered</w:t>
            </w:r>
          </w:p>
        </w:tc>
        <w:tc>
          <w:tcPr>
            <w:tcW w:type="dxa" w:w="2880"/>
          </w:tcPr>
          <w:p>
            <w:r>
              <w:t>General export codes</w:t>
            </w:r>
          </w:p>
        </w:tc>
        <w:tc>
          <w:tcPr>
            <w:tcW w:type="dxa" w:w="2880"/>
          </w:tcPr>
          <w:p>
            <w:r>
              <w:t>1210 / 9610 / 9710 / 9810</w:t>
            </w:r>
          </w:p>
        </w:tc>
      </w:tr>
      <w:tr>
        <w:tc>
          <w:tcPr>
            <w:tcW w:type="dxa" w:w="2880"/>
          </w:tcPr>
          <w:p>
            <w:r>
              <w:t>State required</w:t>
            </w:r>
          </w:p>
        </w:tc>
        <w:tc>
          <w:tcPr>
            <w:tcW w:type="dxa" w:w="2880"/>
          </w:tcPr>
          <w:p>
            <w:r>
              <w:t>Original state (customs-determined)</w:t>
            </w:r>
          </w:p>
        </w:tc>
        <w:tc>
          <w:tcPr>
            <w:tcW w:type="dxa" w:w="2880"/>
          </w:tcPr>
          <w:p>
            <w:r>
              <w:t>Original state</w:t>
            </w:r>
          </w:p>
        </w:tc>
      </w:tr>
      <w:tr>
        <w:tc>
          <w:tcPr>
            <w:tcW w:type="dxa" w:w="2880"/>
          </w:tcPr>
          <w:p>
            <w:r>
              <w:t>Effective note</w:t>
            </w:r>
          </w:p>
        </w:tc>
        <w:tc>
          <w:tcPr>
            <w:tcW w:type="dxa" w:w="2880"/>
          </w:tcPr>
          <w:p>
            <w:r>
              <w:t>Measures effective 2024-12-01</w:t>
            </w:r>
          </w:p>
        </w:tc>
        <w:tc>
          <w:tcPr>
            <w:tcW w:type="dxa" w:w="2880"/>
          </w:tcPr>
          <w:p>
            <w:r>
              <w:t>Special period 2026-01-01 to 2027-12-31</w:t>
            </w:r>
          </w:p>
        </w:tc>
      </w:tr>
    </w:tbl>
    <w:p/>
    <w:p>
      <w:pPr>
        <w:pStyle w:val="Heading2"/>
      </w:pPr>
      <w:r>
        <w:t>How to file a clean return</w:t>
      </w:r>
    </w:p>
    <w:p/>
    <w:p>
      <w:pPr>
        <w:pStyle w:val="ListNumber"/>
      </w:pPr>
      <w:r>
        <w:t>Preserve the link to the original export (declaration number, B/L, commercial documents).</w:t>
      </w:r>
    </w:p>
    <w:p>
      <w:pPr>
        <w:pStyle w:val="ListNumber"/>
      </w:pPr>
      <w:r>
        <w:t>Document the qualifying reason — quality reports, buyer rejection, specification mismatch for the general rule; e-commerce return records for the CBEC track.</w:t>
      </w:r>
    </w:p>
    <w:p>
      <w:pPr>
        <w:pStyle w:val="ListNumber"/>
      </w:pPr>
      <w:r>
        <w:t>Check the clock against the correct rule (one year versus six months) and the current effective period.</w:t>
      </w:r>
    </w:p>
    <w:p>
      <w:pPr>
        <w:pStyle w:val="ListNumber"/>
      </w:pPr>
      <w:r>
        <w:t>Demonstrate original state; disclose any use or processing rather than presenting altered goods as untouched.</w:t>
      </w:r>
    </w:p>
    <w:p>
      <w:pPr>
        <w:pStyle w:val="ListNumber"/>
      </w:pPr>
      <w:r>
        <w:t>Reverse any export rebate already claimed, in step with the tax authority.</w:t>
      </w:r>
    </w:p>
    <w:p>
      <w:pPr>
        <w:pStyle w:val="ListNumber"/>
      </w:pPr>
      <w:r>
        <w:t>Submit the return declaration with the supporting file; let customs make the original-state determination.</w:t>
      </w:r>
    </w:p>
    <w:p/>
    <w:p>
      <w:r>
        <w:t>Per-case outcomes, the precise payback amount and any arrangement after the CBEC special period ends are not assumed here and must be settled with customs and the tax authority for the actual case.</w:t>
      </w:r>
    </w:p>
    <w:p/>
    <w:p>
      <w:pPr>
        <w:pStyle w:val="Heading2"/>
      </w:pPr>
      <w:r>
        <w:t>FAQ</w:t>
      </w:r>
    </w:p>
    <w:p>
      <w:r>
        <w:rPr>
          <w:b/>
        </w:rPr>
        <w:t>When are returned export goods re-imported duty-free?</w:t>
      </w:r>
    </w:p>
    <w:p/>
    <w:p>
      <w:r>
        <w:t>Under GACC Order No.272 Article 49, when they return within one year for quality/specification reasons in original state; import duty and import-stage taxes are not levied on re-entry.</w:t>
      </w:r>
    </w:p>
    <w:p/>
    <w:p>
      <w:r>
        <w:rPr>
          <w:b/>
        </w:rPr>
        <w:t>How is the e-commerce track different?</w:t>
      </w:r>
    </w:p>
    <w:p/>
    <w:p>
      <w:r>
        <w:t>Goods under codes 1210/9610/9710/9810 returning in original state within six months qualify under a special CBEC arrangement running 1 January 2026 to 31 December 2027.</w:t>
      </w:r>
    </w:p>
    <w:p/>
    <w:p>
      <w:r>
        <w:rPr>
          <w:b/>
        </w:rPr>
        <w:t>Who decides whether goods are in "original state"?</w:t>
      </w:r>
    </w:p>
    <w:p/>
    <w:p>
      <w:r>
        <w:t>Customs determines this case by case; unused, unprocessed goods that preserve export-time condition are the working standard.</w:t>
      </w:r>
    </w:p>
    <w:p/>
    <w:p>
      <w:r>
        <w:rPr>
          <w:b/>
        </w:rPr>
        <w:t>Do I keep the export rebate?</w:t>
      </w:r>
    </w:p>
    <w:p/>
    <w:p>
      <w:r>
        <w:t>No. Any export VAT rebate already claimed on returned goods must be paid back/reversed through the tax procedure.</w:t>
      </w:r>
    </w:p>
    <w:p/>
    <w:p>
      <w:r>
        <w:rPr>
          <w:b/>
        </w:rPr>
        <w:t>Can ordinary commercial unsold stock use the one-year rule?</w:t>
      </w:r>
    </w:p>
    <w:p/>
    <w:p>
      <w:r>
        <w:t>The general rule requires quality or specification reasons; ordinary resale re-routing does not by itself qualify — confirm the facts with customs.</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海关进出口货物征税管理办法（272号令第49条，一年退运免税）</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http://www.customs.gov.cn/eportal/fileDir/customs/resource/cms/2024/10/2024102909540487731.pdf</w:t>
            </w:r>
          </w:p>
        </w:tc>
        <w:tc>
          <w:tcPr>
            <w:tcW w:type="dxa" w:w="1234"/>
          </w:tcPr>
          <w:p>
            <w:r>
              <w:t>征税管理办法, 退运免税, 一年期限</w:t>
            </w:r>
          </w:p>
        </w:tc>
      </w:tr>
      <w:tr>
        <w:tc>
          <w:tcPr>
            <w:tcW w:type="dxa" w:w="1234"/>
          </w:tcPr>
          <w:p>
            <w:r>
              <w:t>272号令国务院公报文本（施行日期2024-12-01）</w:t>
            </w:r>
          </w:p>
        </w:tc>
        <w:tc>
          <w:tcPr>
            <w:tcW w:type="dxa" w:w="1234"/>
          </w:tcPr>
          <w:p>
            <w:r>
              <w:t>中国政府网·国务院公报</w:t>
            </w:r>
          </w:p>
        </w:tc>
        <w:tc>
          <w:tcPr>
            <w:tcW w:type="dxa" w:w="1234"/>
          </w:tcPr>
          <w:p>
            <w:r>
              <w:t>CN</w:t>
            </w:r>
          </w:p>
        </w:tc>
        <w:tc>
          <w:tcPr>
            <w:tcW w:type="dxa" w:w="1234"/>
          </w:tcPr>
          <w:p>
            <w:r>
              <w:t>T1</w:t>
            </w:r>
          </w:p>
        </w:tc>
        <w:tc>
          <w:tcPr>
            <w:tcW w:type="dxa" w:w="1234"/>
          </w:tcPr>
          <w:p>
            <w:r>
              <w:t>VERIFIED</w:t>
            </w:r>
          </w:p>
        </w:tc>
        <w:tc>
          <w:tcPr>
            <w:tcW w:type="dxa" w:w="1234"/>
          </w:tcPr>
          <w:p>
            <w:r>
              <w:t>https://www.gov.cn/gongbao/2024/issue_11726/202411/content_6989766.html</w:t>
            </w:r>
          </w:p>
        </w:tc>
        <w:tc>
          <w:tcPr>
            <w:tcW w:type="dxa" w:w="1234"/>
          </w:tcPr>
          <w:p>
            <w:r>
              <w:t>272号令, 施行日期</w:t>
            </w:r>
          </w:p>
        </w:tc>
      </w:tr>
      <w:tr>
        <w:tc>
          <w:tcPr>
            <w:tcW w:type="dxa" w:w="1234"/>
          </w:tcPr>
          <w:p>
            <w:r>
              <w:t>退运货物问答与操作口径</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http://www.customs.gov.cn/eportal/ui?pageId=374112&amp;msgDataId=2d20f5a4bb88464ea0445774578c4cf7</w:t>
            </w:r>
          </w:p>
        </w:tc>
        <w:tc>
          <w:tcPr>
            <w:tcW w:type="dxa" w:w="1234"/>
          </w:tcPr>
          <w:p>
            <w:r>
              <w:t>退运问答, 操作口径</w:t>
            </w:r>
          </w:p>
        </w:tc>
      </w:tr>
      <w:tr>
        <w:tc>
          <w:tcPr>
            <w:tcW w:type="dxa" w:w="1234"/>
          </w:tcPr>
          <w:p>
            <w:r>
              <w:t>跨境电商退运（6个月、执行期2026-2027）</w:t>
            </w:r>
          </w:p>
        </w:tc>
        <w:tc>
          <w:tcPr>
            <w:tcW w:type="dxa" w:w="1234"/>
          </w:tcPr>
          <w:p>
            <w:r>
              <w:t>国家税务总局</w:t>
            </w:r>
          </w:p>
        </w:tc>
        <w:tc>
          <w:tcPr>
            <w:tcW w:type="dxa" w:w="1234"/>
          </w:tcPr>
          <w:p>
            <w:r>
              <w:t>CN</w:t>
            </w:r>
          </w:p>
        </w:tc>
        <w:tc>
          <w:tcPr>
            <w:tcW w:type="dxa" w:w="1234"/>
          </w:tcPr>
          <w:p>
            <w:r>
              <w:t>T1</w:t>
            </w:r>
          </w:p>
        </w:tc>
        <w:tc>
          <w:tcPr>
            <w:tcW w:type="dxa" w:w="1234"/>
          </w:tcPr>
          <w:p>
            <w:r>
              <w:t>TIME_SENSITIVE</w:t>
            </w:r>
          </w:p>
        </w:tc>
        <w:tc>
          <w:tcPr>
            <w:tcW w:type="dxa" w:w="1234"/>
          </w:tcPr>
          <w:p>
            <w:r>
              <w:t>https://fgk.chinatax.gov.cn/zcfgk/c102416/c5247663/content.html</w:t>
            </w:r>
          </w:p>
        </w:tc>
        <w:tc>
          <w:tcPr>
            <w:tcW w:type="dxa" w:w="1234"/>
          </w:tcPr>
          <w:p>
            <w:r>
              <w:t>跨境电商退运, 6个月, 执行期</w:t>
            </w:r>
          </w:p>
        </w:tc>
      </w:tr>
      <w:tr>
        <w:tc>
          <w:tcPr>
            <w:tcW w:type="dxa" w:w="1234"/>
          </w:tcPr>
          <w:p>
            <w:r>
              <w:t>财政部（进出口税收政策主管部门）</w:t>
            </w:r>
          </w:p>
        </w:tc>
        <w:tc>
          <w:tcPr>
            <w:tcW w:type="dxa" w:w="1234"/>
          </w:tcPr>
          <w:p>
            <w:r>
              <w:t>中华人民共和国财政部</w:t>
            </w:r>
          </w:p>
        </w:tc>
        <w:tc>
          <w:tcPr>
            <w:tcW w:type="dxa" w:w="1234"/>
          </w:tcPr>
          <w:p>
            <w:r>
              <w:t>CN</w:t>
            </w:r>
          </w:p>
        </w:tc>
        <w:tc>
          <w:tcPr>
            <w:tcW w:type="dxa" w:w="1234"/>
          </w:tcPr>
          <w:p>
            <w:r>
              <w:t>T1</w:t>
            </w:r>
          </w:p>
        </w:tc>
        <w:tc>
          <w:tcPr>
            <w:tcW w:type="dxa" w:w="1234"/>
          </w:tcPr>
          <w:p>
            <w:r>
              <w:t>VERIFIED</w:t>
            </w:r>
          </w:p>
        </w:tc>
        <w:tc>
          <w:tcPr>
            <w:tcW w:type="dxa" w:w="1234"/>
          </w:tcPr>
          <w:p>
            <w:r>
              <w:t>https://www.mof.gov.cn/</w:t>
            </w:r>
          </w:p>
        </w:tc>
        <w:tc>
          <w:tcPr>
            <w:tcW w:type="dxa" w:w="1234"/>
          </w:tcPr>
          <w:p>
            <w:r>
              <w:t>财税主管框架</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CN（中国进口侧退运税收；原状认定逐案，跨境电商特殊期时间敏感）</w:t>
      </w:r>
    </w:p>
    <w:p>
      <w:pPr>
        <w:pStyle w:val="ListBullet"/>
      </w:pPr>
      <w:r>
        <w:rPr>
          <w:b/>
        </w:rPr>
        <w:t>Verification method</w:t>
      </w:r>
      <w:r>
        <w:t>: Desk research against the sources below; Chinese-market reference framework only. Per-case original-state determination, rebate payback amounts and arrangements after the CBEC special period must be confirmed with customs and the tax authority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