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China E-Port Enrollment: The Legal-Person Card and Operator-Card Hierarchy Explained</w:t>
      </w:r>
    </w:p>
    <w:p>
      <w:pPr>
        <w:pStyle w:val="Heading2"/>
      </w:pPr>
      <w:r>
        <w:t>SEO Metadata</w:t>
      </w:r>
    </w:p>
    <w:p>
      <w:pPr>
        <w:pStyle w:val="ListBullet"/>
      </w:pPr>
      <w:r>
        <w:rPr>
          <w:b/>
        </w:rPr>
        <w:t>SEO Title</w:t>
      </w:r>
      <w:r>
        <w:t>: China E-Port Enrollment: Legal-Person IC Card vs Operator Card | AutoBridge</w:t>
      </w:r>
    </w:p>
    <w:p>
      <w:pPr>
        <w:pStyle w:val="ListBullet"/>
      </w:pPr>
      <w:r>
        <w:rPr>
          <w:b/>
        </w:rPr>
        <w:t>Meta Description</w:t>
      </w:r>
      <w:r>
        <w:t>: How China Electronic Port onboarding now follows automatically from customs registration under the 2023 five-department No.164 announcement, the roles of the legal-person card and operator cards, and the card-authorisation hierarchy.</w:t>
      </w:r>
    </w:p>
    <w:p>
      <w:pPr>
        <w:pStyle w:val="ListBullet"/>
      </w:pPr>
      <w:r>
        <w:rPr>
          <w:b/>
        </w:rPr>
        <w:t>H1</w:t>
      </w:r>
      <w:r>
        <w:t>: China E-Port Enrollment: The Legal-Person Card and Operator-Card Hierarchy Explained</w:t>
      </w:r>
    </w:p>
    <w:p>
      <w:pPr>
        <w:pStyle w:val="ListBullet"/>
      </w:pPr>
      <w:r>
        <w:rPr>
          <w:b/>
        </w:rPr>
        <w:t>Primary Keyword</w:t>
      </w:r>
      <w:r>
        <w:t>: china e-port enrollment ic card operator legal person</w:t>
      </w:r>
    </w:p>
    <w:p>
      <w:pPr>
        <w:pStyle w:val="ListBullet"/>
      </w:pPr>
      <w:r>
        <w:rPr>
          <w:b/>
        </w:rPr>
        <w:t>Secondary Search Terms</w:t>
      </w:r>
      <w:r>
        <w:t>: 中国电子口岸入网; 法人卡; 操作员卡; e-port IC card; customs registration e-port onboarding; chinaport card issuance</w:t>
      </w:r>
    </w:p>
    <w:p>
      <w:pPr>
        <w:pStyle w:val="ListBullet"/>
      </w:pPr>
      <w:r>
        <w:rPr>
          <w:b/>
        </w:rPr>
        <w:t>Suggested URL</w:t>
      </w:r>
      <w:r>
        <w:t>: /guides/china-e-port-enrollment-ic-card-operator/</w:t>
      </w:r>
    </w:p>
    <w:p>
      <w:pPr>
        <w:pStyle w:val="ListBullet"/>
      </w:pPr>
      <w:r>
        <w:rPr>
          <w:b/>
        </w:rPr>
        <w:t>Search Intent</w:t>
      </w:r>
      <w:r>
        <w:t>: 电子口岸入网如何随海关注册同步完成、法人卡与操作员卡的层级关系与数量/授权规则</w:t>
      </w:r>
    </w:p>
    <w:p>
      <w:pPr>
        <w:pStyle w:val="ListBullet"/>
      </w:pPr>
      <w:r>
        <w:rPr>
          <w:b/>
        </w:rPr>
        <w:t>Internal Link Suggestions</w:t>
      </w:r>
      <w:r>
        <w:t>: /guides/cross-border-ecommerce-b2b-export-9710-9810/, /guides/china-vehicle-export-licence/, /guides/customs-voluntary-disclosure-audit-tolerance/</w:t>
      </w:r>
    </w:p>
    <w:p>
      <w:pPr>
        <w:pStyle w:val="ListBullet"/>
      </w:pPr>
      <w:r>
        <w:rPr>
          <w:b/>
        </w:rPr>
        <w:t>Image Suggestion</w:t>
      </w:r>
      <w:r>
        <w:t>: A company administrator inserting an electronic-port IC card reader while managing operator permissions on screen</w:t>
      </w:r>
    </w:p>
    <w:p>
      <w:pPr>
        <w:pStyle w:val="ListBullet"/>
      </w:pPr>
      <w:r>
        <w:rPr>
          <w:b/>
        </w:rPr>
        <w:t>ALT Suggestion</w:t>
      </w:r>
      <w:r>
        <w:t>: IC card in a reader beside an electronic-port permission management screen</w:t>
      </w:r>
    </w:p>
    <w:p>
      <w:pPr>
        <w:pStyle w:val="ListBullet"/>
      </w:pPr>
      <w:r>
        <w:rPr>
          <w:b/>
        </w:rPr>
        <w:t>Schema Scope</w:t>
      </w:r>
      <w:r>
        <w:t>: Article (no Product/Offer/Price/Review/Rating)</w:t>
      </w:r>
    </w:p>
    <w:p/>
    <w:p>
      <w:r>
        <w:t>China Electronic Port (中国电子口岸) is the common digital gateway through which an enterprise makes customs and related cross-border declarations, and access to it is controlled by IC cards carrying digital signatures. New exporters often assume onboarding is a separate, lengthy application; under the current framework it is largely synchronised with customs registration, and the card system itself runs on a strict two-tier hierarchy between a legal-person card and operator cards. Getting that hierarchy wrong is a frequent cause of "we registered but nobody can declare". This guide explains how onboarding now attaches to registration, what each card type can and cannot do, and the rules on card numbers and authorisation. Local outlet lists, processing timelines, fees and fault-handling are deliberately left to the current official guidance, since they vary and change.</w:t>
      </w:r>
    </w:p>
    <w:p/>
    <w:p>
      <w:pPr>
        <w:pStyle w:val="Heading2"/>
      </w:pPr>
      <w:r>
        <w:t>Registration now carries e-port onboarding with it</w:t>
      </w:r>
    </w:p>
    <w:p/>
    <w:p>
      <w:r>
        <w:t xml:space="preserve">Under the </w:t>
      </w:r>
      <w:r>
        <w:rPr>
          <w:b/>
        </w:rPr>
        <w:t>2023 No.164 joint announcement of five departments</w:t>
      </w:r>
      <w:r>
        <w:t xml:space="preserve"> (including the market-regulation and customs authorities), the sequence was streamlined: when an enterprise completes </w:t>
      </w:r>
      <w:r>
        <w:rPr>
          <w:b/>
        </w:rPr>
        <w:t>customs registration</w:t>
      </w:r>
      <w:r>
        <w:t xml:space="preserve"> as a foreign-trade operator, its </w:t>
      </w:r>
      <w:r>
        <w:rPr>
          <w:b/>
        </w:rPr>
        <w:t>electronic-port onboarding is synchronised</w:t>
      </w:r>
      <w:r>
        <w:t xml:space="preserve"> — in the policy shorthand, "registration is onboarding" (注册即入网). The enterprise no longer runs a fully separate qualification process in parallel; the market-entity registration information flows through and the e-port account is established alongside the customs record. The practical consequence is that the starting point is a clean, consistent market-entity and customs registration: mismatched legal-person names, unified social-credit codes or addresses at that stage propagate directly into the e-port record and are harder to unwind later.</w:t>
      </w:r>
    </w:p>
    <w:p/>
    <w:p>
      <w:r>
        <w:t>After onboarding, day-to-day business is conducted through the China International Trade Single Window and the electronic-port systems, with the IC cards supplying the identity and signature.</w:t>
      </w:r>
    </w:p>
    <w:p/>
    <w:p>
      <w:pPr>
        <w:pStyle w:val="Heading2"/>
      </w:pPr>
      <w:r>
        <w:t>The legal-person card: the root of authority</w:t>
      </w:r>
    </w:p>
    <w:p/>
    <w:p>
      <w:r>
        <w:t xml:space="preserve">The </w:t>
      </w:r>
      <w:r>
        <w:rPr>
          <w:b/>
        </w:rPr>
        <w:t>legal-person card (法人卡)</w:t>
      </w:r>
      <w:r>
        <w:t xml:space="preserve"> is issued in the name of the enterprise's legal representative / legal person and functions as the root credential for the company on the platform. Its role is governance rather than data entry:</w:t>
      </w:r>
    </w:p>
    <w:p/>
    <w:p>
      <w:pPr>
        <w:pStyle w:val="ListBullet"/>
      </w:pPr>
      <w:r>
        <w:t>it represents the enterprise's top-level electronic-port identity;</w:t>
      </w:r>
    </w:p>
    <w:p>
      <w:pPr>
        <w:pStyle w:val="ListBullet"/>
      </w:pPr>
      <w:r>
        <w:t xml:space="preserve">it </w:t>
      </w:r>
      <w:r>
        <w:rPr>
          <w:b/>
        </w:rPr>
        <w:t>manages and authorises</w:t>
      </w:r>
      <w:r>
        <w:t xml:space="preserve"> operator cards, granting and withdrawing their permissions;</w:t>
      </w:r>
    </w:p>
    <w:p>
      <w:pPr>
        <w:pStyle w:val="ListBullet"/>
      </w:pPr>
      <w:r>
        <w:t>it carries the enterprise-level electronic signature for actions that require the legal-person level.</w:t>
      </w:r>
    </w:p>
    <w:p/>
    <w:p>
      <w:r>
        <w:t xml:space="preserve">As a rule an enterprise holds </w:t>
      </w:r>
      <w:r>
        <w:rPr>
          <w:b/>
        </w:rPr>
        <w:t>one legal-person card in principle</w:t>
      </w:r>
      <w:r>
        <w:t>. Because every operator permission ultimately derives from it, control of the legal-person card is control of the company's e-port authority — it should be held by a trusted, accountable person and its use logged, not shared casually among staff.</w:t>
      </w:r>
    </w:p>
    <w:p/>
    <w:p>
      <w:pPr>
        <w:pStyle w:val="Heading2"/>
      </w:pPr>
      <w:r>
        <w:t>Operator cards: the working credentials, under the legal-person card</w:t>
      </w:r>
    </w:p>
    <w:p/>
    <w:p>
      <w:r>
        <w:rPr>
          <w:b/>
        </w:rPr>
        <w:t>Operator cards (操作员卡)</w:t>
      </w:r>
      <w:r>
        <w:t xml:space="preserve"> are the credentials staff actually use to perform business operations — making declarations, querying status and handling day-to-day electronic-port tasks. Their defining feature is that they are </w:t>
      </w:r>
      <w:r>
        <w:rPr>
          <w:b/>
        </w:rPr>
        <w:t>subordinate</w:t>
      </w:r>
      <w:r>
        <w:t xml:space="preserve">: an operator card's permissions are </w:t>
      </w:r>
      <w:r>
        <w:rPr>
          <w:b/>
        </w:rPr>
        <w:t>granted by the legal-person card</w:t>
      </w:r>
      <w:r>
        <w:t>, and an operator cannot self-assign authority.</w:t>
      </w:r>
    </w:p>
    <w:p/>
    <w:p>
      <w:r>
        <w:t>The numbering rules prevent both sprawl and sharing:</w:t>
      </w:r>
    </w:p>
    <w:p/>
    <w:p>
      <w:pPr>
        <w:pStyle w:val="ListBullet"/>
      </w:pPr>
      <w:r>
        <w:t xml:space="preserve">an enterprise may hold </w:t>
      </w:r>
      <w:r>
        <w:rPr>
          <w:b/>
        </w:rPr>
        <w:t>multiple operator cards</w:t>
      </w:r>
      <w:r>
        <w:t xml:space="preserve"> (the number is not capped at one), matching the staff who need to operate;</w:t>
      </w:r>
    </w:p>
    <w:p>
      <w:pPr>
        <w:pStyle w:val="ListBullet"/>
      </w:pPr>
      <w:r>
        <w:t xml:space="preserve">but </w:t>
      </w:r>
      <w:r>
        <w:rPr>
          <w:b/>
        </w:rPr>
        <w:t>the same natural person may hold only one operator card</w:t>
      </w:r>
      <w:r>
        <w:t xml:space="preserve"> — one person, one credential, so actions are attributable to an identifiable individual;</w:t>
      </w:r>
    </w:p>
    <w:p>
      <w:pPr>
        <w:pStyle w:val="ListBullet"/>
      </w:pPr>
      <w:r>
        <w:t>when a person leaves or changes role, their operator card's permissions should be adjusted or withdrawn through the legal-person card.</w:t>
      </w:r>
    </w:p>
    <w:p/>
    <w:p>
      <w:r>
        <w:t>This hierarchy is the platform's segregation-of-duties mechanism: the legal-person card decides who may do what; operator cards do the work within a defined scope.</w:t>
      </w:r>
    </w:p>
    <w:p/>
    <w:p>
      <w:pPr>
        <w:pStyle w:val="Heading2"/>
      </w:pPr>
      <w:r>
        <w:t>Issuance channel and current guidance</w:t>
      </w:r>
    </w:p>
    <w:p/>
    <w:p>
      <w:r>
        <w:t xml:space="preserve">Cards are produced and issued through the electronic-port card-issuance system (e.chinaport.gov.cn) and its local service points (cross-checked across electronic-port and customs-district guidance). The exact materials required, the local outlet or online channel, processing time and any charges are set out in the </w:t>
      </w:r>
      <w:r>
        <w:rPr>
          <w:b/>
        </w:rPr>
        <w:t>current issuance guide</w:t>
      </w:r>
      <w:r>
        <w:t xml:space="preserve"> and vary by locality and over time, so they should be read from the official channel at the point of application rather than copied from an old checklist. This guide does not fix local outlets, timelines or fees, and it does not attempt a universal permission matrix — the matrix is precisely what each enterprise configures through its legal-person card.</w:t>
      </w:r>
    </w:p>
    <w:p/>
    <w:p>
      <w:pPr>
        <w:pStyle w:val="Heading2"/>
      </w:pPr>
      <w:r>
        <w:t>Setting up without the common errors</w:t>
      </w:r>
    </w:p>
    <w:p/>
    <w:tbl>
      <w:tblPr>
        <w:tblStyle w:val="LightGrid-Accent1"/>
        <w:tblW w:type="auto" w:w="0"/>
        <w:tblLook w:firstColumn="1" w:firstRow="1" w:lastColumn="0" w:lastRow="0" w:noHBand="0" w:noVBand="1" w:val="04A0"/>
      </w:tblPr>
      <w:tblGrid>
        <w:gridCol w:w="4320"/>
        <w:gridCol w:w="4320"/>
      </w:tblGrid>
      <w:tr>
        <w:tc>
          <w:tcPr>
            <w:tcW w:type="dxa" w:w="4320"/>
          </w:tcPr>
          <w:p>
            <w:r>
              <w:t>Step</w:t>
            </w:r>
          </w:p>
        </w:tc>
        <w:tc>
          <w:tcPr>
            <w:tcW w:type="dxa" w:w="4320"/>
          </w:tcPr>
          <w:p>
            <w:r>
              <w:t>What to get right</w:t>
            </w:r>
          </w:p>
        </w:tc>
      </w:tr>
      <w:tr>
        <w:tc>
          <w:tcPr>
            <w:tcW w:type="dxa" w:w="4320"/>
          </w:tcPr>
          <w:p>
            <w:r>
              <w:t>Registration consistency</w:t>
            </w:r>
          </w:p>
        </w:tc>
        <w:tc>
          <w:tcPr>
            <w:tcW w:type="dxa" w:w="4320"/>
          </w:tcPr>
          <w:p>
            <w:r>
              <w:t>Legal-person name, unified social-credit code and address must be identical across market registration, customs record and e-port onboarding.</w:t>
            </w:r>
          </w:p>
        </w:tc>
      </w:tr>
      <w:tr>
        <w:tc>
          <w:tcPr>
            <w:tcW w:type="dxa" w:w="4320"/>
          </w:tcPr>
          <w:p>
            <w:r>
              <w:t>Root credential</w:t>
            </w:r>
          </w:p>
        </w:tc>
        <w:tc>
          <w:tcPr>
            <w:tcW w:type="dxa" w:w="4320"/>
          </w:tcPr>
          <w:p>
            <w:r>
              <w:t>Issue and securely hold the single legal-person card; decide who controls it and how use is recorded.</w:t>
            </w:r>
          </w:p>
        </w:tc>
      </w:tr>
      <w:tr>
        <w:tc>
          <w:tcPr>
            <w:tcW w:type="dxa" w:w="4320"/>
          </w:tcPr>
          <w:p>
            <w:r>
              <w:t>Operator design</w:t>
            </w:r>
          </w:p>
        </w:tc>
        <w:tc>
          <w:tcPr>
            <w:tcW w:type="dxa" w:w="4320"/>
          </w:tcPr>
          <w:p>
            <w:r>
              <w:t>Issue one operator card per actual operator (never share one card among several staff); grant least-privilege permissions from the legal-person card.</w:t>
            </w:r>
          </w:p>
        </w:tc>
      </w:tr>
      <w:tr>
        <w:tc>
          <w:tcPr>
            <w:tcW w:type="dxa" w:w="4320"/>
          </w:tcPr>
          <w:p>
            <w:r>
              <w:t>Leaver process</w:t>
            </w:r>
          </w:p>
        </w:tc>
        <w:tc>
          <w:tcPr>
            <w:tcW w:type="dxa" w:w="4320"/>
          </w:tcPr>
          <w:p>
            <w:r>
              <w:t>Withdraw or adjust operator permissions when staff change, using the legal-person card.</w:t>
            </w:r>
          </w:p>
        </w:tc>
      </w:tr>
      <w:tr>
        <w:tc>
          <w:tcPr>
            <w:tcW w:type="dxa" w:w="4320"/>
          </w:tcPr>
          <w:p>
            <w:r>
              <w:t>Current procedure</w:t>
            </w:r>
          </w:p>
        </w:tc>
        <w:tc>
          <w:tcPr>
            <w:tcW w:type="dxa" w:w="4320"/>
          </w:tcPr>
          <w:p>
            <w:r>
              <w:t>Confirm required materials, local channel, timeline and fees from the current e.chinaport.gov.cn guidance before applying.</w:t>
            </w:r>
          </w:p>
        </w:tc>
      </w:tr>
      <w:tr>
        <w:tc>
          <w:tcPr>
            <w:tcW w:type="dxa" w:w="4320"/>
          </w:tcPr>
          <w:p>
            <w:r>
              <w:t>Fault handling</w:t>
            </w:r>
          </w:p>
        </w:tc>
        <w:tc>
          <w:tcPr>
            <w:tcW w:type="dxa" w:w="4320"/>
          </w:tcPr>
          <w:p>
            <w:r>
              <w:t>Treat card loss, lock or reader problems through the official e-port service channel rather than informal agents.</w:t>
            </w:r>
          </w:p>
        </w:tc>
      </w:tr>
    </w:tbl>
    <w:p/>
    <w:p>
      <w:pPr>
        <w:pStyle w:val="Heading2"/>
      </w:pPr>
      <w:r>
        <w:t>FAQ</w:t>
      </w:r>
    </w:p>
    <w:p>
      <w:r>
        <w:rPr>
          <w:b/>
        </w:rPr>
        <w:t>Do I apply separately for e-port access after customs registration?</w:t>
      </w:r>
    </w:p>
    <w:p/>
    <w:p>
      <w:r>
        <w:t>Under the 2023 five-department No.164 framework, e-port onboarding is synchronised with customs registration ("registration is onboarding"); keep the underlying registration data consistent so the e-port record is created cleanly.</w:t>
      </w:r>
    </w:p>
    <w:p/>
    <w:p>
      <w:r>
        <w:rPr>
          <w:b/>
        </w:rPr>
        <w:t>What is the difference between the legal-person card and an operator card?</w:t>
      </w:r>
    </w:p>
    <w:p/>
    <w:p>
      <w:r>
        <w:t>The legal-person card is the enterprise root credential that authorises and manages operator cards; operator cards are subordinate working credentials staff use to operate, within permissions granted by the legal-person card.</w:t>
      </w:r>
    </w:p>
    <w:p/>
    <w:p>
      <w:r>
        <w:rPr>
          <w:b/>
        </w:rPr>
        <w:t>How many cards can a company have?</w:t>
      </w:r>
    </w:p>
    <w:p/>
    <w:p>
      <w:r>
        <w:t>One legal-person card in principle; multiple operator cards are allowed, but each natural person may hold only one operator card.</w:t>
      </w:r>
    </w:p>
    <w:p/>
    <w:p>
      <w:r>
        <w:rPr>
          <w:b/>
        </w:rPr>
        <w:t>Can an operator card assign its own permissions?</w:t>
      </w:r>
    </w:p>
    <w:p/>
    <w:p>
      <w:r>
        <w:t>No — operator permissions are granted and withdrawn by the legal-person card; the hierarchy is enforced by the platform.</w:t>
      </w:r>
    </w:p>
    <w:p/>
    <w:p>
      <w:r>
        <w:rPr>
          <w:b/>
        </w:rPr>
        <w:t>Where are cards issued and what does it cost?</w:t>
      </w:r>
    </w:p>
    <w:p/>
    <w:p>
      <w:r>
        <w:t>Through the electronic-port card-issuance system and its local service points; materials, outlets, timelines and fees follow the current official guidance and are not fixed in this article.</w:t>
      </w:r>
    </w:p>
    <w:p/>
    <w:p>
      <w:pPr>
        <w:pStyle w:val="Heading2"/>
      </w:pPr>
      <w:r>
        <w:t>Sources &amp; Verification</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Source</w:t>
            </w:r>
          </w:p>
        </w:tc>
        <w:tc>
          <w:tcPr>
            <w:tcW w:type="dxa" w:w="1234"/>
          </w:tcPr>
          <w:p>
            <w:r>
              <w:t>Organization</w:t>
            </w:r>
          </w:p>
        </w:tc>
        <w:tc>
          <w:tcPr>
            <w:tcW w:type="dxa" w:w="1234"/>
          </w:tcPr>
          <w:p>
            <w:r>
              <w:t>Market</w:t>
            </w:r>
          </w:p>
        </w:tc>
        <w:tc>
          <w:tcPr>
            <w:tcW w:type="dxa" w:w="1234"/>
          </w:tcPr>
          <w:p>
            <w:r>
              <w:t>Tier</w:t>
            </w:r>
          </w:p>
        </w:tc>
        <w:tc>
          <w:tcPr>
            <w:tcW w:type="dxa" w:w="1234"/>
          </w:tcPr>
          <w:p>
            <w:r>
              <w:t>Confidence</w:t>
            </w:r>
          </w:p>
        </w:tc>
        <w:tc>
          <w:tcPr>
            <w:tcW w:type="dxa" w:w="1234"/>
          </w:tcPr>
          <w:p>
            <w:r>
              <w:t>URL</w:t>
            </w:r>
          </w:p>
        </w:tc>
        <w:tc>
          <w:tcPr>
            <w:tcW w:type="dxa" w:w="1234"/>
          </w:tcPr>
          <w:p>
            <w:r>
              <w:t>Supported facts</w:t>
            </w:r>
          </w:p>
        </w:tc>
      </w:tr>
      <w:tr>
        <w:tc>
          <w:tcPr>
            <w:tcW w:type="dxa" w:w="1234"/>
          </w:tcPr>
          <w:p>
            <w:r>
              <w:t>电子口岸接入指引（注册即入网、业务说明）</w:t>
            </w:r>
          </w:p>
        </w:tc>
        <w:tc>
          <w:tcPr>
            <w:tcW w:type="dxa" w:w="1234"/>
          </w:tcPr>
          <w:p>
            <w:r>
              <w:t>中国电子口岸数据中心</w:t>
            </w:r>
          </w:p>
        </w:tc>
        <w:tc>
          <w:tcPr>
            <w:tcW w:type="dxa" w:w="1234"/>
          </w:tcPr>
          <w:p>
            <w:r>
              <w:t>CN</w:t>
            </w:r>
          </w:p>
        </w:tc>
        <w:tc>
          <w:tcPr>
            <w:tcW w:type="dxa" w:w="1234"/>
          </w:tcPr>
          <w:p>
            <w:r>
              <w:t>T1</w:t>
            </w:r>
          </w:p>
        </w:tc>
        <w:tc>
          <w:tcPr>
            <w:tcW w:type="dxa" w:w="1234"/>
          </w:tcPr>
          <w:p>
            <w:r>
              <w:t>VERIFIED</w:t>
            </w:r>
          </w:p>
        </w:tc>
        <w:tc>
          <w:tcPr>
            <w:tcW w:type="dxa" w:w="1234"/>
          </w:tcPr>
          <w:p>
            <w:r>
              <w:t>https://www.chinaport.gov.cn/pages/service/service.html?service=423</w:t>
            </w:r>
          </w:p>
        </w:tc>
        <w:tc>
          <w:tcPr>
            <w:tcW w:type="dxa" w:w="1234"/>
          </w:tcPr>
          <w:p>
            <w:r>
              <w:t>接入指引, 注册即入网</w:t>
            </w:r>
          </w:p>
        </w:tc>
      </w:tr>
      <w:tr>
        <w:tc>
          <w:tcPr>
            <w:tcW w:type="dxa" w:w="1234"/>
          </w:tcPr>
          <w:p>
            <w:r>
              <w:t>法人卡/操作员卡数量与授权规则问答</w:t>
            </w:r>
          </w:p>
        </w:tc>
        <w:tc>
          <w:tcPr>
            <w:tcW w:type="dxa" w:w="1234"/>
          </w:tcPr>
          <w:p>
            <w:r>
              <w:t>中国电子口岸数据中心</w:t>
            </w:r>
          </w:p>
        </w:tc>
        <w:tc>
          <w:tcPr>
            <w:tcW w:type="dxa" w:w="1234"/>
          </w:tcPr>
          <w:p>
            <w:r>
              <w:t>CN</w:t>
            </w:r>
          </w:p>
        </w:tc>
        <w:tc>
          <w:tcPr>
            <w:tcW w:type="dxa" w:w="1234"/>
          </w:tcPr>
          <w:p>
            <w:r>
              <w:t>T1</w:t>
            </w:r>
          </w:p>
        </w:tc>
        <w:tc>
          <w:tcPr>
            <w:tcW w:type="dxa" w:w="1234"/>
          </w:tcPr>
          <w:p>
            <w:r>
              <w:t>VERIFIED</w:t>
            </w:r>
          </w:p>
        </w:tc>
        <w:tc>
          <w:tcPr>
            <w:tcW w:type="dxa" w:w="1234"/>
          </w:tcPr>
          <w:p>
            <w:r>
              <w:t>https://www.chinaport.gov.cn/pages/customer/problem-detail.html?id=16150</w:t>
            </w:r>
          </w:p>
        </w:tc>
        <w:tc>
          <w:tcPr>
            <w:tcW w:type="dxa" w:w="1234"/>
          </w:tcPr>
          <w:p>
            <w:r>
              <w:t>法人卡, 操作员卡, 数量规则</w:t>
            </w:r>
          </w:p>
        </w:tc>
      </w:tr>
      <w:tr>
        <w:tc>
          <w:tcPr>
            <w:tcW w:type="dxa" w:w="1234"/>
          </w:tcPr>
          <w:p>
            <w:r>
              <w:t>新入网制发卡办理路径（海关分署指引）</w:t>
            </w:r>
          </w:p>
        </w:tc>
        <w:tc>
          <w:tcPr>
            <w:tcW w:type="dxa" w:w="1234"/>
          </w:tcPr>
          <w:p>
            <w:r>
              <w:t>海关总署广东分署</w:t>
            </w:r>
          </w:p>
        </w:tc>
        <w:tc>
          <w:tcPr>
            <w:tcW w:type="dxa" w:w="1234"/>
          </w:tcPr>
          <w:p>
            <w:r>
              <w:t>CN</w:t>
            </w:r>
          </w:p>
        </w:tc>
        <w:tc>
          <w:tcPr>
            <w:tcW w:type="dxa" w:w="1234"/>
          </w:tcPr>
          <w:p>
            <w:r>
              <w:t>T1</w:t>
            </w:r>
          </w:p>
        </w:tc>
        <w:tc>
          <w:tcPr>
            <w:tcW w:type="dxa" w:w="1234"/>
          </w:tcPr>
          <w:p>
            <w:r>
              <w:t>VERIFIED</w:t>
            </w:r>
          </w:p>
        </w:tc>
        <w:tc>
          <w:tcPr>
            <w:tcW w:type="dxa" w:w="1234"/>
          </w:tcPr>
          <w:p>
            <w:r>
              <w:t>http://gdfs.customs.gov.cn/nanjing_customs/2024-05/24/article_2026070902403998036.html</w:t>
            </w:r>
          </w:p>
        </w:tc>
        <w:tc>
          <w:tcPr>
            <w:tcW w:type="dxa" w:w="1234"/>
          </w:tcPr>
          <w:p>
            <w:r>
              <w:t>新入网, 制发卡, 办理路径</w:t>
            </w:r>
          </w:p>
        </w:tc>
      </w:tr>
      <w:tr>
        <w:tc>
          <w:tcPr>
            <w:tcW w:type="dxa" w:w="1234"/>
          </w:tcPr>
          <w:p>
            <w:r>
              <w:t>电子口岸入网问答</w:t>
            </w:r>
          </w:p>
        </w:tc>
        <w:tc>
          <w:tcPr>
            <w:tcW w:type="dxa" w:w="1234"/>
          </w:tcPr>
          <w:p>
            <w:r>
              <w:t>中华人民共和国海关总署</w:t>
            </w:r>
          </w:p>
        </w:tc>
        <w:tc>
          <w:tcPr>
            <w:tcW w:type="dxa" w:w="1234"/>
          </w:tcPr>
          <w:p>
            <w:r>
              <w:t>CN</w:t>
            </w:r>
          </w:p>
        </w:tc>
        <w:tc>
          <w:tcPr>
            <w:tcW w:type="dxa" w:w="1234"/>
          </w:tcPr>
          <w:p>
            <w:r>
              <w:t>T1</w:t>
            </w:r>
          </w:p>
        </w:tc>
        <w:tc>
          <w:tcPr>
            <w:tcW w:type="dxa" w:w="1234"/>
          </w:tcPr>
          <w:p>
            <w:r>
              <w:t>VERIFIED</w:t>
            </w:r>
          </w:p>
        </w:tc>
        <w:tc>
          <w:tcPr>
            <w:tcW w:type="dxa" w:w="1234"/>
          </w:tcPr>
          <w:p>
            <w:r>
              <w:t>http://www.customs.gov.cn/eportal/ui?msgDataId=9ba4182feb9f410e94cd77b5cdc7e405&amp;pageId=374112</w:t>
            </w:r>
          </w:p>
        </w:tc>
        <w:tc>
          <w:tcPr>
            <w:tcW w:type="dxa" w:w="1234"/>
          </w:tcPr>
          <w:p>
            <w:r>
              <w:t>入网问答</w:t>
            </w:r>
          </w:p>
        </w:tc>
      </w:tr>
      <w:tr>
        <w:tc>
          <w:tcPr>
            <w:tcW w:type="dxa" w:w="1234"/>
          </w:tcPr>
          <w:p>
            <w:r>
              <w:t>市场监管总局（五部门164号联合发文单位之一）</w:t>
            </w:r>
          </w:p>
        </w:tc>
        <w:tc>
          <w:tcPr>
            <w:tcW w:type="dxa" w:w="1234"/>
          </w:tcPr>
          <w:p>
            <w:r>
              <w:t>国家市场监督管理总局(SAMR)</w:t>
            </w:r>
          </w:p>
        </w:tc>
        <w:tc>
          <w:tcPr>
            <w:tcW w:type="dxa" w:w="1234"/>
          </w:tcPr>
          <w:p>
            <w:r>
              <w:t>CN</w:t>
            </w:r>
          </w:p>
        </w:tc>
        <w:tc>
          <w:tcPr>
            <w:tcW w:type="dxa" w:w="1234"/>
          </w:tcPr>
          <w:p>
            <w:r>
              <w:t>T1</w:t>
            </w:r>
          </w:p>
        </w:tc>
        <w:tc>
          <w:tcPr>
            <w:tcW w:type="dxa" w:w="1234"/>
          </w:tcPr>
          <w:p>
            <w:r>
              <w:t>VERIFIED</w:t>
            </w:r>
          </w:p>
        </w:tc>
        <w:tc>
          <w:tcPr>
            <w:tcW w:type="dxa" w:w="1234"/>
          </w:tcPr>
          <w:p>
            <w:r>
              <w:t>https://www.samr.gov.cn/</w:t>
            </w:r>
          </w:p>
        </w:tc>
        <w:tc>
          <w:tcPr>
            <w:tcW w:type="dxa" w:w="1234"/>
          </w:tcPr>
          <w:p>
            <w:r>
              <w:t>市场主体登记</w:t>
            </w:r>
          </w:p>
        </w:tc>
      </w:tr>
      <w:tr>
        <w:tc>
          <w:tcPr>
            <w:tcW w:type="dxa" w:w="1234"/>
          </w:tcPr>
          <w:p>
            <w:r>
              <w:t>中国国际贸易单一窗口（入网后业务主通道）</w:t>
            </w:r>
          </w:p>
        </w:tc>
        <w:tc>
          <w:tcPr>
            <w:tcW w:type="dxa" w:w="1234"/>
          </w:tcPr>
          <w:p>
            <w:r>
              <w:t>中国国际贸易单一窗口</w:t>
            </w:r>
          </w:p>
        </w:tc>
        <w:tc>
          <w:tcPr>
            <w:tcW w:type="dxa" w:w="1234"/>
          </w:tcPr>
          <w:p>
            <w:r>
              <w:t>CN</w:t>
            </w:r>
          </w:p>
        </w:tc>
        <w:tc>
          <w:tcPr>
            <w:tcW w:type="dxa" w:w="1234"/>
          </w:tcPr>
          <w:p>
            <w:r>
              <w:t>T1</w:t>
            </w:r>
          </w:p>
        </w:tc>
        <w:tc>
          <w:tcPr>
            <w:tcW w:type="dxa" w:w="1234"/>
          </w:tcPr>
          <w:p>
            <w:r>
              <w:t>VERIFIED</w:t>
            </w:r>
          </w:p>
        </w:tc>
        <w:tc>
          <w:tcPr>
            <w:tcW w:type="dxa" w:w="1234"/>
          </w:tcPr>
          <w:p>
            <w:r>
              <w:t>https://www.singlewindow.cn/</w:t>
            </w:r>
          </w:p>
        </w:tc>
        <w:tc>
          <w:tcPr>
            <w:tcW w:type="dxa" w:w="1234"/>
          </w:tcPr>
          <w:p>
            <w:r>
              <w:t>单一窗口业务通道</w:t>
            </w:r>
          </w:p>
        </w:tc>
      </w:tr>
    </w:tbl>
    <w:p/>
    <w:p>
      <w:pPr>
        <w:pStyle w:val="Heading2"/>
      </w:pPr>
      <w:r>
        <w:t>Editorial Review</w:t>
      </w:r>
    </w:p>
    <w:p>
      <w:pPr>
        <w:pStyle w:val="ListBullet"/>
      </w:pPr>
      <w:r>
        <w:rPr>
          <w:b/>
        </w:rPr>
        <w:t>Author</w:t>
      </w:r>
      <w:r>
        <w:t>: AutoBridge Export Editorial Team · [authors](/authors/) · [Editorial Policy](/editorial-policy/)</w:t>
      </w:r>
    </w:p>
    <w:p>
      <w:pPr>
        <w:pStyle w:val="ListBullet"/>
      </w:pPr>
      <w:r>
        <w:rPr>
          <w:b/>
        </w:rPr>
        <w:t>Last reviewed</w:t>
      </w:r>
      <w:r>
        <w:t>: 2026-09-07</w:t>
      </w:r>
    </w:p>
    <w:p>
      <w:pPr>
        <w:pStyle w:val="ListBullet"/>
      </w:pPr>
      <w:r>
        <w:rPr>
          <w:b/>
        </w:rPr>
        <w:t>Reference market</w:t>
      </w:r>
      <w:r>
        <w:t>: CN（中国电子口岸入网与IC卡层级；属地网点/时限/收费以当期官方指引为准）</w:t>
      </w:r>
    </w:p>
    <w:p>
      <w:pPr>
        <w:pStyle w:val="ListBullet"/>
      </w:pPr>
      <w:r>
        <w:rPr>
          <w:b/>
        </w:rPr>
        <w:t>Verification method</w:t>
      </w:r>
      <w:r>
        <w:t>: Desk research against the sources below; Chinese-market reference framework only. Local outlets, processing timelines, fees, fault handling and enterprise-specific permission matrices must be confirmed from the current electronic-port issuance guidance before transacting.</w:t>
      </w:r>
    </w:p>
    <w:p>
      <w:pPr>
        <w:pStyle w:val="ListBullet"/>
      </w:pPr>
      <w:r>
        <w:rPr>
          <w:b/>
        </w:rPr>
        <w:t>Transparency</w:t>
      </w:r>
      <w:r>
        <w:t>: AI-assisted drafting was used. This article is based on desk research and automated QA. No first-hand testing is claimed unless explicitly documented.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