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China's 2026 Dual-Use Items Catalogue: When a Vehicle Export Needs a License Before Declaration</w:t>
      </w:r>
    </w:p>
    <w:p>
      <w:pPr>
        <w:pStyle w:val="Heading2"/>
      </w:pPr>
      <w:r>
        <w:t>SEO Metadata</w:t>
      </w:r>
    </w:p>
    <w:p>
      <w:pPr>
        <w:pStyle w:val="ListBullet"/>
      </w:pPr>
      <w:r>
        <w:rPr>
          <w:b/>
        </w:rPr>
        <w:t>SEO Title</w:t>
      </w:r>
      <w:r>
        <w:t>: China Dual-Use Export License &amp; 2026 Catalogue for Vehicle Exporters | AutoBridge</w:t>
      </w:r>
    </w:p>
    <w:p>
      <w:pPr>
        <w:pStyle w:val="ListBullet"/>
      </w:pPr>
      <w:r>
        <w:rPr>
          <w:b/>
        </w:rPr>
        <w:t>Meta Description</w:t>
      </w:r>
      <w:r>
        <w:t>: How China's 2026 dual-use items and technologies import/export licence catalogue works, when the 2025 No.91 announcement took effect, and how an exporter confirms whether a part or technology is listed.</w:t>
      </w:r>
    </w:p>
    <w:p>
      <w:pPr>
        <w:pStyle w:val="ListBullet"/>
      </w:pPr>
      <w:r>
        <w:rPr>
          <w:b/>
        </w:rPr>
        <w:t>H1</w:t>
      </w:r>
      <w:r>
        <w:t>: China's 2026 Dual-Use Items Catalogue: When a Vehicle Export Needs a License Before Declaration</w:t>
      </w:r>
    </w:p>
    <w:p>
      <w:pPr>
        <w:pStyle w:val="ListBullet"/>
      </w:pPr>
      <w:r>
        <w:rPr>
          <w:b/>
        </w:rPr>
        <w:t>Primary Keyword</w:t>
      </w:r>
      <w:r>
        <w:t>: china dual use items export license catalogue 2026</w:t>
      </w:r>
    </w:p>
    <w:p>
      <w:pPr>
        <w:pStyle w:val="ListBullet"/>
      </w:pPr>
      <w:r>
        <w:rPr>
          <w:b/>
        </w:rPr>
        <w:t>Secondary Search Terms</w:t>
      </w:r>
      <w:r>
        <w:t>: dual-use items export license China; MOFCOM GACC announcement 2025 No.91; export control law China; end-user end-use statement; controlled items customs declaration</w:t>
      </w:r>
    </w:p>
    <w:p>
      <w:pPr>
        <w:pStyle w:val="ListBullet"/>
      </w:pPr>
      <w:r>
        <w:rPr>
          <w:b/>
        </w:rPr>
        <w:t>Suggested URL</w:t>
      </w:r>
      <w:r>
        <w:t>: /guides/export-license-dual-use-items-catalogue-2026/</w:t>
      </w:r>
    </w:p>
    <w:p>
      <w:pPr>
        <w:pStyle w:val="ListBullet"/>
      </w:pPr>
      <w:r>
        <w:rPr>
          <w:b/>
        </w:rPr>
        <w:t>Search Intent</w:t>
      </w:r>
      <w:r>
        <w:t>: 两用物项和技术2026目录如何适用，列入目录为何须先取证再报关，出口经营者的最终用户/最终用途责任</w:t>
      </w:r>
    </w:p>
    <w:p>
      <w:pPr>
        <w:pStyle w:val="ListBullet"/>
      </w:pPr>
      <w:r>
        <w:rPr>
          <w:b/>
        </w:rPr>
        <w:t>Internal Link Suggestions</w:t>
      </w:r>
      <w:r>
        <w:t>: /guides/ipr-customs-recordation-export-protection/, /guides/cross-border-ecommerce-b2b-export-9710-9810/, /guides/china-vehicle-export-licence/</w:t>
      </w:r>
    </w:p>
    <w:p>
      <w:pPr>
        <w:pStyle w:val="ListBullet"/>
      </w:pPr>
      <w:r>
        <w:rPr>
          <w:b/>
        </w:rPr>
        <w:t>Image Suggestion</w:t>
      </w:r>
      <w:r>
        <w:t>: An export-compliance officer comparing a parts list against an official licence catalogue on a screen</w:t>
      </w:r>
    </w:p>
    <w:p>
      <w:pPr>
        <w:pStyle w:val="ListBullet"/>
      </w:pPr>
      <w:r>
        <w:rPr>
          <w:b/>
        </w:rPr>
        <w:t>ALT Suggestion</w:t>
      </w:r>
      <w:r>
        <w:t>: Person comparing a printed parts list with a licence catalogue displayed on a monitor</w:t>
      </w:r>
    </w:p>
    <w:p>
      <w:pPr>
        <w:pStyle w:val="ListBullet"/>
      </w:pPr>
      <w:r>
        <w:rPr>
          <w:b/>
        </w:rPr>
        <w:t>Schema Scope</w:t>
      </w:r>
      <w:r>
        <w:t>: Article (no Product/Offer/Price/Review/Rating)</w:t>
      </w:r>
    </w:p>
    <w:p/>
    <w:p>
      <w:r>
        <w:t>Most finished passenger vehicles are ordinary commercial goods, but the vehicles business also moves items that sit on a different legal track: dual-use items and technologies that can serve both civilian and military or proliferation-sensitive uses. Certain on-board electronics, navigation or sensing components, specialised materials, production technology and some vehicle-adjacent equipment can fall inside a controlled catalogue. For those goods China does not allow declaration first and clarification later: the operator must hold the correct licence before customs declaration. This guide explains the legal hierarchy, how the current catalogue is issued and brought into force, and the exporter's continuing responsibility for end-user and end-use — while leaving item-by-item classification to the official catalogue and the competent authorities.</w:t>
      </w:r>
    </w:p>
    <w:p/>
    <w:p>
      <w:pPr>
        <w:pStyle w:val="Heading2"/>
      </w:pPr>
      <w:r>
        <w:t>The legal hierarchy: Export Control Law above the annual catalogue</w:t>
      </w:r>
    </w:p>
    <w:p/>
    <w:p>
      <w:r>
        <w:t>The upper law is the Export Control Law of the People's Republic of China, adopted by the National People's Congress Standing Committee, which establishes controlled items, licensing and end-user/end-use obligations. Sitting beneath that law are the administrative rules and, operationally, the catalogue of dual-use items and technologies subject to import and export licensing. The catalogue is not static doctrine; it is a living list that the competent departments revise and reissue.</w:t>
      </w:r>
    </w:p>
    <w:p/>
    <w:p>
      <w:r>
        <w:t xml:space="preserve">For 2026, the dual-use items and technologies catalogue was published by the Ministry of Commerce together with the General Administration of Customs in the </w:t>
      </w:r>
      <w:r>
        <w:rPr>
          <w:b/>
        </w:rPr>
        <w:t>2025 No.91 Announcement</w:t>
      </w:r>
      <w:r>
        <w:t xml:space="preserve">, with effect from </w:t>
      </w:r>
      <w:r>
        <w:rPr>
          <w:b/>
        </w:rPr>
        <w:t>1 January 2026</w:t>
      </w:r>
      <w:r>
        <w:t>. An exporter planning 2026 shipments must work from this current catalogue rather than an older annual version, because controlled descriptions and codes move between editions.</w:t>
      </w:r>
    </w:p>
    <w:p/>
    <w:p>
      <w:pPr>
        <w:pStyle w:val="Heading2"/>
      </w:pPr>
      <w:r>
        <w:t>The core operating principle: listed means licensed before declaration</w:t>
      </w:r>
    </w:p>
    <w:p/>
    <w:p>
      <w:r>
        <w:t>The rule that drives the whole process is simple in structure and unforgiving in practice:</w:t>
      </w:r>
    </w:p>
    <w:p/>
    <w:p>
      <w:pPr>
        <w:pStyle w:val="ListBullet"/>
      </w:pPr>
      <w:r>
        <w:t xml:space="preserve">If an item or technology is </w:t>
      </w:r>
      <w:r>
        <w:rPr>
          <w:b/>
        </w:rPr>
        <w:t>listed</w:t>
      </w:r>
      <w:r>
        <w:t xml:space="preserve"> in the current catalogue, the export operator must obtain the corresponding dual-use export </w:t>
      </w:r>
      <w:r>
        <w:rPr>
          <w:b/>
        </w:rPr>
        <w:t>licence first</w:t>
      </w:r>
      <w:r>
        <w:t xml:space="preserve">, and then declare to customs </w:t>
      </w:r>
      <w:r>
        <w:rPr>
          <w:b/>
        </w:rPr>
        <w:t>against that licence</w:t>
      </w:r>
      <w:r>
        <w:t>. Declaring listed goods without the required licence is not a paperwork gap that can be cured after arrival.</w:t>
      </w:r>
    </w:p>
    <w:p>
      <w:pPr>
        <w:pStyle w:val="ListBullet"/>
      </w:pPr>
      <w:r>
        <w:t>If an item is genuinely outside the catalogue and outside other control instruments, ordinary export procedures apply.</w:t>
      </w:r>
    </w:p>
    <w:p/>
    <w:p>
      <w:r>
        <w:t>The difficult middle ground is classification. Whether a specific part, software or technical document is "dual-use" is not decided by its civilian label, by a freight forwarder, or by the fact that the same part appears in a consumer vehicle. It is determined against the exact technical description in the current catalogue and, where unclear, by the competent commerce authority. A mirror copy of the catalogue on a commercial website is a reading aid, never the controlling text — the official announcement and its attached catalogue govern.</w:t>
      </w:r>
    </w:p>
    <w:p/>
    <w:p>
      <w:pPr>
        <w:pStyle w:val="Heading2"/>
      </w:pPr>
      <w:r>
        <w:t>End-user and end-use responsibility stays with the exporter</w:t>
      </w:r>
    </w:p>
    <w:p/>
    <w:p>
      <w:r>
        <w:t xml:space="preserve">Holding a licence for a listed item does not transfer compliance responsibility to the buyer. The export operator remains responsible for the </w:t>
      </w:r>
      <w:r>
        <w:rPr>
          <w:b/>
        </w:rPr>
        <w:t>end-user and end-use</w:t>
      </w:r>
      <w:r>
        <w:t xml:space="preserve"> of controlled goods: who will ultimately use the item, for what purpose, and whether retransfer is contemplated. Exporters should therefore collect a credible end-user/end-use statement, screen the counterparty against current control lists, and keep the documents that connect the licensed item to the stated use. A licence obtained for one destination, user or purpose cannot be assumed to cover a different one.</w:t>
      </w:r>
    </w:p>
    <w:p/>
    <w:p>
      <w:r>
        <w:t>This responsibility also reaches intangible exports. Technical drawings, production know-how and software that correspond to a controlled technology can be controlled even where no physical box crosses the border — an important point for engineering teams that email design files or provide remote commissioning support.</w:t>
      </w:r>
    </w:p>
    <w:p/>
    <w:p>
      <w:pPr>
        <w:pStyle w:val="Heading2"/>
      </w:pPr>
      <w:r>
        <w:t>How a vehicle exporter should work the catalogue</w:t>
      </w:r>
    </w:p>
    <w:p/>
    <w:p>
      <w:pPr>
        <w:pStyle w:val="ListNumber"/>
      </w:pPr>
      <w:r>
        <w:rPr>
          <w:b/>
        </w:rPr>
        <w:t>Identify the candidate item precisely</w:t>
      </w:r>
      <w:r>
        <w:t xml:space="preserve"> — part number, technical specification and the technology behind it, not just a commercial product name.</w:t>
      </w:r>
    </w:p>
    <w:p>
      <w:pPr>
        <w:pStyle w:val="ListNumber"/>
      </w:pPr>
      <w:r>
        <w:rPr>
          <w:b/>
        </w:rPr>
        <w:t>Classify against the current 2026 catalogue</w:t>
      </w:r>
      <w:r>
        <w:t xml:space="preserve"> issued under the 2025 No.91 Announcement, reading the technical description rather than guessing from an HS code.</w:t>
      </w:r>
    </w:p>
    <w:p>
      <w:pPr>
        <w:pStyle w:val="ListNumber"/>
      </w:pPr>
      <w:r>
        <w:rPr>
          <w:b/>
        </w:rPr>
        <w:t>If listed, apply for the dual-use licence before production ships</w:t>
      </w:r>
      <w:r>
        <w:t>, allowing lead time; declare against the licence with matching item, quantity, consignee and destination.</w:t>
      </w:r>
    </w:p>
    <w:p>
      <w:pPr>
        <w:pStyle w:val="ListNumber"/>
      </w:pPr>
      <w:r>
        <w:rPr>
          <w:b/>
        </w:rPr>
        <w:t>If classification is genuinely unclear</w:t>
      </w:r>
      <w:r>
        <w:t>, submit the question to the competent commerce authority rather than self-clearing; keep the written position in the transaction file.</w:t>
      </w:r>
    </w:p>
    <w:p>
      <w:pPr>
        <w:pStyle w:val="ListNumber"/>
      </w:pPr>
      <w:r>
        <w:rPr>
          <w:b/>
        </w:rPr>
        <w:t>Build the end-user/end-use file</w:t>
      </w:r>
      <w:r>
        <w:t xml:space="preserve"> and re-screen if the buyer, destination or stated use changes.</w:t>
      </w:r>
    </w:p>
    <w:p/>
    <w:p>
      <w:pPr>
        <w:pStyle w:val="Heading2"/>
      </w:pPr>
      <w:r>
        <w:t>What this guide deliberately does not conclude</w:t>
      </w:r>
    </w:p>
    <w:p/>
    <w:p>
      <w:r>
        <w:t>The current catalogue's item-by-item controlled descriptions and codes are not reproduced here: a copied list becomes stale and a wrong code is worse than a flagged question. This article also does not decide whether any particular component is dual-use — that is a case-specific determination against the official text. Real-time changes to the controlled list, and any licence threshold for a specific transaction, must be confirmed against the current official catalogue and the licensing authority before shipment.</w:t>
      </w:r>
    </w:p>
    <w:p/>
    <w:p>
      <w:pPr>
        <w:pStyle w:val="Heading2"/>
      </w:pPr>
      <w:r>
        <w:t>Before you commit to a delivery date</w:t>
      </w:r>
    </w:p>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Why it matters</w:t>
            </w:r>
          </w:p>
        </w:tc>
      </w:tr>
      <w:tr>
        <w:tc>
          <w:tcPr>
            <w:tcW w:type="dxa" w:w="4320"/>
          </w:tcPr>
          <w:p>
            <w:r>
              <w:t>Current catalogue edition</w:t>
            </w:r>
          </w:p>
        </w:tc>
        <w:tc>
          <w:tcPr>
            <w:tcW w:type="dxa" w:w="4320"/>
          </w:tcPr>
          <w:p>
            <w:r>
              <w:t>Use the 2026 catalogue effective 1 January 2026 under the 2025 No.91 Announcement, not an older annual list.</w:t>
            </w:r>
          </w:p>
        </w:tc>
      </w:tr>
      <w:tr>
        <w:tc>
          <w:tcPr>
            <w:tcW w:type="dxa" w:w="4320"/>
          </w:tcPr>
          <w:p>
            <w:r>
              <w:t>Technical classification</w:t>
            </w:r>
          </w:p>
        </w:tc>
        <w:tc>
          <w:tcPr>
            <w:tcW w:type="dxa" w:w="4320"/>
          </w:tcPr>
          <w:p>
            <w:r>
              <w:t>Match the item's real specification to the controlled description; an HS code alone does not settle dual-use status.</w:t>
            </w:r>
          </w:p>
        </w:tc>
      </w:tr>
      <w:tr>
        <w:tc>
          <w:tcPr>
            <w:tcW w:type="dxa" w:w="4320"/>
          </w:tcPr>
          <w:p>
            <w:r>
              <w:t>Licence obtained first</w:t>
            </w:r>
          </w:p>
        </w:tc>
        <w:tc>
          <w:tcPr>
            <w:tcW w:type="dxa" w:w="4320"/>
          </w:tcPr>
          <w:p>
            <w:r>
              <w:t>Listed goods require a licence held before customs declaration; build licence lead time into the schedule.</w:t>
            </w:r>
          </w:p>
        </w:tc>
      </w:tr>
      <w:tr>
        <w:tc>
          <w:tcPr>
            <w:tcW w:type="dxa" w:w="4320"/>
          </w:tcPr>
          <w:p>
            <w:r>
              <w:t>End-user / end-use file</w:t>
            </w:r>
          </w:p>
        </w:tc>
        <w:tc>
          <w:tcPr>
            <w:tcW w:type="dxa" w:w="4320"/>
          </w:tcPr>
          <w:p>
            <w:r>
              <w:t>Keep a credible statement and screening record; responsibility remains with the exporter.</w:t>
            </w:r>
          </w:p>
        </w:tc>
      </w:tr>
      <w:tr>
        <w:tc>
          <w:tcPr>
            <w:tcW w:type="dxa" w:w="4320"/>
          </w:tcPr>
          <w:p>
            <w:r>
              <w:t>Technology and software</w:t>
            </w:r>
          </w:p>
        </w:tc>
        <w:tc>
          <w:tcPr>
            <w:tcW w:type="dxa" w:w="4320"/>
          </w:tcPr>
          <w:p>
            <w:r>
              <w:t>Treat controlled technical data and remote know-how transfer as potentially controlled even without cargo.</w:t>
            </w:r>
          </w:p>
        </w:tc>
      </w:tr>
      <w:tr>
        <w:tc>
          <w:tcPr>
            <w:tcW w:type="dxa" w:w="4320"/>
          </w:tcPr>
          <w:p>
            <w:r>
              <w:t>Written position on ambiguity</w:t>
            </w:r>
          </w:p>
        </w:tc>
        <w:tc>
          <w:tcPr>
            <w:tcW w:type="dxa" w:w="4320"/>
          </w:tcPr>
          <w:p>
            <w:r>
              <w:t>Where status is unclear, obtain the competent authority's view rather than relying on a commercial mirror site.</w:t>
            </w:r>
          </w:p>
        </w:tc>
      </w:tr>
    </w:tbl>
    <w:p/>
    <w:p>
      <w:pPr>
        <w:pStyle w:val="Heading2"/>
      </w:pPr>
      <w:r>
        <w:t>FAQ</w:t>
      </w:r>
    </w:p>
    <w:p>
      <w:r>
        <w:rPr>
          <w:b/>
        </w:rPr>
        <w:t>When did the current dual-use catalogue take effect?</w:t>
      </w:r>
    </w:p>
    <w:p/>
    <w:p>
      <w:r>
        <w:t>The 2026 catalogue was issued by MOFCOM and GACC in the 2025 No.91 Announcement and took effect on 1 January 2026; always confirm against the current official text.</w:t>
      </w:r>
    </w:p>
    <w:p/>
    <w:p>
      <w:r>
        <w:rPr>
          <w:b/>
        </w:rPr>
        <w:t>Does an ordinary passenger car need a dual-use licence?</w:t>
      </w:r>
    </w:p>
    <w:p/>
    <w:p>
      <w:r>
        <w:t>A finished civilian passenger vehicle is generally ordinary cargo, but specific components, technologies or software may be listed — classify each candidate item against the current catalogue rather than assuming from the product name.</w:t>
      </w:r>
    </w:p>
    <w:p/>
    <w:p>
      <w:r>
        <w:rPr>
          <w:b/>
        </w:rPr>
        <w:t>Can I declare first and sort the licence out later?</w:t>
      </w:r>
    </w:p>
    <w:p/>
    <w:p>
      <w:r>
        <w:t>No. For listed items the licence must be obtained before customs declaration; the goods are declared against the licence.</w:t>
      </w:r>
    </w:p>
    <w:p/>
    <w:p>
      <w:r>
        <w:rPr>
          <w:b/>
        </w:rPr>
        <w:t>Who is responsible for end-user and end-use?</w:t>
      </w:r>
    </w:p>
    <w:p/>
    <w:p>
      <w:r>
        <w:t>The export operator remains responsible, even after a licence is issued; changes of user, destination or purpose may require fresh assessment.</w:t>
      </w:r>
    </w:p>
    <w:p/>
    <w:p>
      <w:r>
        <w:rPr>
          <w:b/>
        </w:rPr>
        <w:t>Is a commercial website copy of the catalogue authoritative?</w:t>
      </w:r>
    </w:p>
    <w:p/>
    <w:p>
      <w:r>
        <w:t>No. Only the official announcement and its attached catalogue control; third-party mirrors are reading aids and can be out of date.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2026两用物项和技术进出口许可证管理目录（2025年第91号公告，2026-01-01施行）</w:t>
            </w:r>
          </w:p>
        </w:tc>
        <w:tc>
          <w:tcPr>
            <w:tcW w:type="dxa" w:w="1234"/>
          </w:tcPr>
          <w:p>
            <w:r>
              <w:t>中华人民共和国商务部</w:t>
            </w:r>
          </w:p>
        </w:tc>
        <w:tc>
          <w:tcPr>
            <w:tcW w:type="dxa" w:w="1234"/>
          </w:tcPr>
          <w:p>
            <w:r>
              <w:t>CN</w:t>
            </w:r>
          </w:p>
        </w:tc>
        <w:tc>
          <w:tcPr>
            <w:tcW w:type="dxa" w:w="1234"/>
          </w:tcPr>
          <w:p>
            <w:r>
              <w:t>T1</w:t>
            </w:r>
          </w:p>
        </w:tc>
        <w:tc>
          <w:tcPr>
            <w:tcW w:type="dxa" w:w="1234"/>
          </w:tcPr>
          <w:p>
            <w:r>
              <w:t>TIME_SENSITIVE</w:t>
            </w:r>
          </w:p>
        </w:tc>
        <w:tc>
          <w:tcPr>
            <w:tcW w:type="dxa" w:w="1234"/>
          </w:tcPr>
          <w:p>
            <w:r>
              <w:t>https://www.mofcom.gov.cn/zwgk/zcfb/art/2025/art_c03d1e511b2b486e829d68e8f1422aff.html</w:t>
            </w:r>
          </w:p>
        </w:tc>
        <w:tc>
          <w:tcPr>
            <w:tcW w:type="dxa" w:w="1234"/>
          </w:tcPr>
          <w:p>
            <w:r>
              <w:t>2026目录, 施行日期, 发证范围</w:t>
            </w:r>
          </w:p>
        </w:tc>
      </w:tr>
      <w:tr>
        <w:tc>
          <w:tcPr>
            <w:tcW w:type="dxa" w:w="1234"/>
          </w:tcPr>
          <w:p>
            <w:r>
              <w:t>《中华人民共和国出口管制法》（上位法）</w:t>
            </w:r>
          </w:p>
        </w:tc>
        <w:tc>
          <w:tcPr>
            <w:tcW w:type="dxa" w:w="1234"/>
          </w:tcPr>
          <w:p>
            <w:r>
              <w:t>全国人民代表大会(NPC)</w:t>
            </w:r>
          </w:p>
        </w:tc>
        <w:tc>
          <w:tcPr>
            <w:tcW w:type="dxa" w:w="1234"/>
          </w:tcPr>
          <w:p>
            <w:r>
              <w:t>CN</w:t>
            </w:r>
          </w:p>
        </w:tc>
        <w:tc>
          <w:tcPr>
            <w:tcW w:type="dxa" w:w="1234"/>
          </w:tcPr>
          <w:p>
            <w:r>
              <w:t>T1</w:t>
            </w:r>
          </w:p>
        </w:tc>
        <w:tc>
          <w:tcPr>
            <w:tcW w:type="dxa" w:w="1234"/>
          </w:tcPr>
          <w:p>
            <w:r>
              <w:t>VERIFIED</w:t>
            </w:r>
          </w:p>
        </w:tc>
        <w:tc>
          <w:tcPr>
            <w:tcW w:type="dxa" w:w="1234"/>
          </w:tcPr>
          <w:p>
            <w:r>
              <w:t>http://www.npc.gov.cn/npc/c2/c30834/202010/t20201017_308195.html</w:t>
            </w:r>
          </w:p>
        </w:tc>
        <w:tc>
          <w:tcPr>
            <w:tcW w:type="dxa" w:w="1234"/>
          </w:tcPr>
          <w:p>
            <w:r>
              <w:t>出口管制上位法依据</w:t>
            </w:r>
          </w:p>
        </w:tc>
      </w:tr>
      <w:tr>
        <w:tc>
          <w:tcPr>
            <w:tcW w:type="dxa" w:w="1234"/>
          </w:tcPr>
          <w:p>
            <w:r>
              <w:t>出口管制与许可证动态（独立媒体，背景体例）</w:t>
            </w:r>
          </w:p>
        </w:tc>
        <w:tc>
          <w:tcPr>
            <w:tcW w:type="dxa" w:w="1234"/>
          </w:tcPr>
          <w:p>
            <w:r>
              <w:t>新华网</w:t>
            </w:r>
          </w:p>
        </w:tc>
        <w:tc>
          <w:tcPr>
            <w:tcW w:type="dxa" w:w="1234"/>
          </w:tcPr>
          <w:p>
            <w:r>
              <w:t>CN</w:t>
            </w:r>
          </w:p>
        </w:tc>
        <w:tc>
          <w:tcPr>
            <w:tcW w:type="dxa" w:w="1234"/>
          </w:tcPr>
          <w:p>
            <w:r>
              <w:t>T2</w:t>
            </w:r>
          </w:p>
        </w:tc>
        <w:tc>
          <w:tcPr>
            <w:tcW w:type="dxa" w:w="1234"/>
          </w:tcPr>
          <w:p>
            <w:r>
              <w:t>CROSS_CHECKED</w:t>
            </w:r>
          </w:p>
        </w:tc>
        <w:tc>
          <w:tcPr>
            <w:tcW w:type="dxa" w:w="1234"/>
          </w:tcPr>
          <w:p>
            <w:r>
              <w:t>https://app.xinhuanet.com/news/article.html?articleId=20260805c61ac3a0512a40c29c1fd9cef</w:t>
            </w:r>
          </w:p>
        </w:tc>
        <w:tc>
          <w:tcPr>
            <w:tcW w:type="dxa" w:w="1234"/>
          </w:tcPr>
          <w:p>
            <w:r>
              <w:t>公告体例背景</w:t>
            </w:r>
          </w:p>
        </w:tc>
      </w:tr>
      <w:tr>
        <w:tc>
          <w:tcPr>
            <w:tcW w:type="dxa" w:w="1234"/>
          </w:tcPr>
          <w:p>
            <w:r>
              <w:t>出口许可证货物目录线索（第三方镜像，仅线索，不作判定依据）</w:t>
            </w:r>
          </w:p>
        </w:tc>
        <w:tc>
          <w:tcPr>
            <w:tcW w:type="dxa" w:w="1234"/>
          </w:tcPr>
          <w:p>
            <w:r>
              <w:t>今日头条镜像</w:t>
            </w:r>
          </w:p>
        </w:tc>
        <w:tc>
          <w:tcPr>
            <w:tcW w:type="dxa" w:w="1234"/>
          </w:tcPr>
          <w:p>
            <w:r>
              <w:t>CN</w:t>
            </w:r>
          </w:p>
        </w:tc>
        <w:tc>
          <w:tcPr>
            <w:tcW w:type="dxa" w:w="1234"/>
          </w:tcPr>
          <w:p>
            <w:r>
              <w:t>T3</w:t>
            </w:r>
          </w:p>
        </w:tc>
        <w:tc>
          <w:tcPr>
            <w:tcW w:type="dxa" w:w="1234"/>
          </w:tcPr>
          <w:p>
            <w:r>
              <w:t>UNVERIFIED</w:t>
            </w:r>
          </w:p>
        </w:tc>
        <w:tc>
          <w:tcPr>
            <w:tcW w:type="dxa" w:w="1234"/>
          </w:tcPr>
          <w:p>
            <w:r>
              <w:t>http://m.toutiao.com/group/7590308770606875155/</w:t>
            </w:r>
          </w:p>
        </w:tc>
        <w:tc>
          <w:tcPr>
            <w:tcW w:type="dxa" w:w="1234"/>
          </w:tcPr>
          <w:p>
            <w:r>
              <w:t>目录线索</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CN（中国出口侧两用物项管制；目录为年度更新、时间敏感，须以当期官方目录为准）</w:t>
      </w:r>
    </w:p>
    <w:p>
      <w:pPr>
        <w:pStyle w:val="ListBullet"/>
      </w:pPr>
      <w:r>
        <w:rPr>
          <w:b/>
        </w:rPr>
        <w:t>Verification method</w:t>
      </w:r>
      <w:r>
        <w:t>: Desk research against the sources below; Chinese-market reference framework only. Item-level classification, licence scope and real-time list changes must be confirmed against the current official catalogue and licensing authority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