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Customs Voluntary Disclosure in China: Turning a Self-Found Error Into a Tolerance Outcome</w:t>
      </w:r>
    </w:p>
    <w:p>
      <w:pPr>
        <w:pStyle w:val="Heading2"/>
      </w:pPr>
      <w:r>
        <w:t>SEO Metadata</w:t>
      </w:r>
    </w:p>
    <w:p>
      <w:pPr>
        <w:pStyle w:val="ListBullet"/>
      </w:pPr>
      <w:r>
        <w:rPr>
          <w:b/>
        </w:rPr>
        <w:t>SEO Title</w:t>
      </w:r>
      <w:r>
        <w:t>: China Customs Voluntary Disclosure &amp; Audit Tolerance for Exporters | AutoBridge</w:t>
      </w:r>
    </w:p>
    <w:p>
      <w:pPr>
        <w:pStyle w:val="ListBullet"/>
      </w:pPr>
      <w:r>
        <w:rPr>
          <w:b/>
        </w:rPr>
        <w:t>Meta Description</w:t>
      </w:r>
      <w:r>
        <w:t>: How China customs voluntary disclosure works, the current policy window to 30 June 2027, when administrative penalties can be waived or reduced, and what an exporter must document.</w:t>
      </w:r>
    </w:p>
    <w:p>
      <w:pPr>
        <w:pStyle w:val="ListBullet"/>
      </w:pPr>
      <w:r>
        <w:rPr>
          <w:b/>
        </w:rPr>
        <w:t>H1</w:t>
      </w:r>
      <w:r>
        <w:t>: Customs Voluntary Disclosure in China: Turning a Self-Found Error Into a Tolerance Outcome</w:t>
      </w:r>
    </w:p>
    <w:p>
      <w:pPr>
        <w:pStyle w:val="ListBullet"/>
      </w:pPr>
      <w:r>
        <w:rPr>
          <w:b/>
        </w:rPr>
        <w:t>Primary Keyword</w:t>
      </w:r>
      <w:r>
        <w:t>: china customs voluntary disclosure audit tolerance</w:t>
      </w:r>
    </w:p>
    <w:p>
      <w:pPr>
        <w:pStyle w:val="ListBullet"/>
      </w:pPr>
      <w:r>
        <w:rPr>
          <w:b/>
        </w:rPr>
        <w:t>Secondary Search Terms</w:t>
      </w:r>
      <w:r>
        <w:t>: customs voluntary disclosure China;主动披露; no administrative penalty customs; customs audit regulation article 27; late payment surcharge reduction</w:t>
      </w:r>
    </w:p>
    <w:p>
      <w:pPr>
        <w:pStyle w:val="ListBullet"/>
      </w:pPr>
      <w:r>
        <w:rPr>
          <w:b/>
        </w:rPr>
        <w:t>Suggested URL</w:t>
      </w:r>
      <w:r>
        <w:t>: /guides/customs-voluntary-disclosure-audit-tolerance/</w:t>
      </w:r>
    </w:p>
    <w:p>
      <w:pPr>
        <w:pStyle w:val="ListBullet"/>
      </w:pPr>
      <w:r>
        <w:rPr>
          <w:b/>
        </w:rPr>
        <w:t>Search Intent</w:t>
      </w:r>
      <w:r>
        <w:t>: 海关主动披露是什么、符合条件为何可不予/减轻行政处罚、现行政策窗口与办理要点</w:t>
      </w:r>
    </w:p>
    <w:p>
      <w:pPr>
        <w:pStyle w:val="ListBullet"/>
      </w:pPr>
      <w:r>
        <w:rPr>
          <w:b/>
        </w:rPr>
        <w:t>Internal Link Suggestions</w:t>
      </w:r>
      <w:r>
        <w:t>: /guides/ipr-customs-recordation-export-protection/, /guides/export-returned-goods-duty-exemption-regulation/, /guides/china-e-port-enrollment-ic-card-operator/</w:t>
      </w:r>
    </w:p>
    <w:p>
      <w:pPr>
        <w:pStyle w:val="ListBullet"/>
      </w:pPr>
      <w:r>
        <w:rPr>
          <w:b/>
        </w:rPr>
        <w:t>Image Suggestion</w:t>
      </w:r>
      <w:r>
        <w:t>: A finance officer preparing a written voluntary-disclosure report with a customs audit file open</w:t>
      </w:r>
    </w:p>
    <w:p>
      <w:pPr>
        <w:pStyle w:val="ListBullet"/>
      </w:pPr>
      <w:r>
        <w:rPr>
          <w:b/>
        </w:rPr>
        <w:t>ALT Suggestion</w:t>
      </w:r>
      <w:r>
        <w:t>: Hands preparing a voluntary disclosure letter beside an open customs audit folder</w:t>
      </w:r>
    </w:p>
    <w:p>
      <w:pPr>
        <w:pStyle w:val="ListBullet"/>
      </w:pPr>
      <w:r>
        <w:rPr>
          <w:b/>
        </w:rPr>
        <w:t>Schema Scope</w:t>
      </w:r>
      <w:r>
        <w:t>: Article (no Product/Offer/Price/Review/Rating)</w:t>
      </w:r>
    </w:p>
    <w:p/>
    <w:p>
      <w:r>
        <w:t>There is a meaningful difference, in Chinese customs enforcement, between an error the authority finds during an audit and an error an enterprise finds and reports itself. The voluntary disclosure (主动披露) mechanism is built around that difference: an enterprise that discovers it underpaid duty or breached a customs requirement through its own internal check may submit a written report and accept handling, and — where the statutory conditions are met — receive more tolerant treatment than it would if the same problem were detected by customs. This guide sets out the legal basis, the current time-limited tolerance window, how the mechanism actually runs, and the limits that decide whether a given case qualifies.</w:t>
      </w:r>
    </w:p>
    <w:p/>
    <w:p>
      <w:pPr>
        <w:pStyle w:val="Heading2"/>
      </w:pPr>
      <w:r>
        <w:t>The legal basis</w:t>
      </w:r>
    </w:p>
    <w:p/>
    <w:p>
      <w:r>
        <w:t>Voluntary disclosure is grounded in the Customs Audit Regulations (海关稽查条例) and their implementing rules, including Article 27 of the implementing measures, which frame the treatment of an enterprise that voluntarily reports a non-compliance found through self-inspection. On top of that standing framework, customs has issued dedicated announcements that set out, for a defined period, more concrete tolerance treatment — including circumstances in which an administrative penalty is not imposed or is reduced. The current operative announcement is time-limited, which is the single most important fact to check before relying on it.</w:t>
      </w:r>
    </w:p>
    <w:p/>
    <w:p>
      <w:pPr>
        <w:pStyle w:val="Heading2"/>
      </w:pPr>
      <w:r>
        <w:t>The current tolerance window is time-limited</w:t>
      </w:r>
    </w:p>
    <w:p/>
    <w:p>
      <w:r>
        <w:t xml:space="preserve">The favourable treatment in the current announcement applies within a defined window: </w:t>
      </w:r>
      <w:r>
        <w:rPr>
          <w:b/>
        </w:rPr>
        <w:t>from 11 October 2025 to 30 June 2027</w:t>
      </w:r>
      <w:r>
        <w:t>. Because the window is explicit, an exporter evaluating an old error cannot assume the same terms will be available after it closes; post-window policy is not something this article predicts. Any planning should be dated against the announcement actually in force when the disclosure is submitted, and the closing date should be treated as a hard planning constraint rather than a soft target.</w:t>
      </w:r>
    </w:p>
    <w:p/>
    <w:p>
      <w:pPr>
        <w:pStyle w:val="Heading2"/>
      </w:pPr>
      <w:r>
        <w:t>What voluntary disclosure requires</w:t>
      </w:r>
    </w:p>
    <w:p/>
    <w:p>
      <w:r>
        <w:t>The mechanism is not a verbal heads-up. Its shape is:</w:t>
      </w:r>
    </w:p>
    <w:p/>
    <w:p>
      <w:pPr>
        <w:pStyle w:val="ListNumber"/>
      </w:pPr>
      <w:r>
        <w:rPr>
          <w:b/>
        </w:rPr>
        <w:t>Self-discovery through an internal check.</w:t>
      </w:r>
      <w:r>
        <w:t xml:space="preserve"> The enterprise identifies the problem itself — a misclassified HS code, an under-declared customs value, a missed licence requirement, a reporting omission — rather than being prompted by an open customs investigation into the same matter.</w:t>
      </w:r>
    </w:p>
    <w:p>
      <w:pPr>
        <w:pStyle w:val="ListNumber"/>
      </w:pPr>
      <w:r>
        <w:rPr>
          <w:b/>
        </w:rPr>
        <w:t>A written report to customs.</w:t>
      </w:r>
      <w:r>
        <w:t xml:space="preserve"> The enterprise submits a written voluntary disclosure describing the facts, the period involved, the cause and the quantified impact.</w:t>
      </w:r>
    </w:p>
    <w:p>
      <w:pPr>
        <w:pStyle w:val="ListNumber"/>
      </w:pPr>
      <w:r>
        <w:rPr>
          <w:b/>
        </w:rPr>
        <w:t>Acceptance of handling and make-good.</w:t>
      </w:r>
      <w:r>
        <w:t xml:space="preserve"> The enterprise cooperates and pays the duty (and import import-stage taxes where applicable) that should have been paid.</w:t>
      </w:r>
    </w:p>
    <w:p>
      <w:pPr>
        <w:pStyle w:val="ListNumber"/>
      </w:pPr>
      <w:r>
        <w:rPr>
          <w:b/>
        </w:rPr>
        <w:t>Tolerance assessment against the conditions.</w:t>
      </w:r>
      <w:r>
        <w:t xml:space="preserve"> Customs assesses whether the statutory and announcement conditions for non-penalty or reduced/lighter treatment are met.</w:t>
      </w:r>
    </w:p>
    <w:p/>
    <w:p>
      <w:r>
        <w:t xml:space="preserve">Where the conditions are satisfied, the mechanism provides that an administrative penalty may be </w:t>
      </w:r>
      <w:r>
        <w:rPr>
          <w:b/>
        </w:rPr>
        <w:t>not imposed</w:t>
      </w:r>
      <w:r>
        <w:t xml:space="preserve">, or may be </w:t>
      </w:r>
      <w:r>
        <w:rPr>
          <w:b/>
        </w:rPr>
        <w:t>lighter or reduced</w:t>
      </w:r>
      <w:r>
        <w:t>, and that late-payment surcharges may be reduced within the terms of the current rules. That is genuine leniency, but it is conditional — it is not an automatic amnesty.</w:t>
      </w:r>
    </w:p>
    <w:p/>
    <w:p>
      <w:pPr>
        <w:pStyle w:val="Heading2"/>
      </w:pPr>
      <w:r>
        <w:t>Where the leniency ends</w:t>
      </w:r>
    </w:p>
    <w:p/>
    <w:p>
      <w:r>
        <w:t>Three boundaries matter. First, voluntary disclosure addresses violations that qualify under the rules; it does not erase the underlying obligation to pay the duty actually owed. Second, whether a specific case receives no penalty, a reduced penalty, or a surcharge reduction is determined case by case against the conditions — this guide does not promise an outcome or quote a fixed reduction ratio. Third, timing relative to customs' own knowledge is decisive: once customs has already launched an investigation or audit into the same conduct, the room to claim "voluntary" disclosure narrows sharply. Acting early is the whole point.</w:t>
      </w:r>
    </w:p>
    <w:p/>
    <w:p>
      <w:r>
        <w:t>For a vehicle or parts exporter, the recurring candidates are classification drift across a parts catalogue, royalty or assists not reflected in customs value, origin-document gaps, and discrepancies between the declaration and the books. Each is far cheaper to self-correct with a complete file than to explain after a customs audit notice arrives.</w:t>
      </w:r>
    </w:p>
    <w:p/>
    <w:p>
      <w:pPr>
        <w:pStyle w:val="Heading2"/>
      </w:pPr>
      <w:r>
        <w:t>Building a defensible disclosure</w:t>
      </w:r>
    </w:p>
    <w:p/>
    <w:tbl>
      <w:tblPr>
        <w:tblStyle w:val="LightGrid-Accent1"/>
        <w:tblW w:type="auto" w:w="0"/>
        <w:tblLook w:firstColumn="1" w:firstRow="1" w:lastColumn="0" w:lastRow="0" w:noHBand="0" w:noVBand="1" w:val="04A0"/>
      </w:tblPr>
      <w:tblGrid>
        <w:gridCol w:w="4320"/>
        <w:gridCol w:w="4320"/>
      </w:tblGrid>
      <w:tr>
        <w:tc>
          <w:tcPr>
            <w:tcW w:type="dxa" w:w="4320"/>
          </w:tcPr>
          <w:p>
            <w:r>
              <w:t>Element</w:t>
            </w:r>
          </w:p>
        </w:tc>
        <w:tc>
          <w:tcPr>
            <w:tcW w:type="dxa" w:w="4320"/>
          </w:tcPr>
          <w:p>
            <w:r>
              <w:t>What to prepare</w:t>
            </w:r>
          </w:p>
        </w:tc>
      </w:tr>
      <w:tr>
        <w:tc>
          <w:tcPr>
            <w:tcW w:type="dxa" w:w="4320"/>
          </w:tcPr>
          <w:p>
            <w:r>
              <w:t>Discovery evidence</w:t>
            </w:r>
          </w:p>
        </w:tc>
        <w:tc>
          <w:tcPr>
            <w:tcW w:type="dxa" w:w="4320"/>
          </w:tcPr>
          <w:p>
            <w:r>
              <w:t>Records showing the issue was found by internal review before customs action on the same matter.</w:t>
            </w:r>
          </w:p>
        </w:tc>
      </w:tr>
      <w:tr>
        <w:tc>
          <w:tcPr>
            <w:tcW w:type="dxa" w:w="4320"/>
          </w:tcPr>
          <w:p>
            <w:r>
              <w:t>Complete factual statement</w:t>
            </w:r>
          </w:p>
        </w:tc>
        <w:tc>
          <w:tcPr>
            <w:tcW w:type="dxa" w:w="4320"/>
          </w:tcPr>
          <w:p>
            <w:r>
              <w:t>Period, shipments, HS codes/values involved, root cause, and a quantified duty/tax impact.</w:t>
            </w:r>
          </w:p>
        </w:tc>
      </w:tr>
      <w:tr>
        <w:tc>
          <w:tcPr>
            <w:tcW w:type="dxa" w:w="4320"/>
          </w:tcPr>
          <w:p>
            <w:r>
              <w:t>Make-good readiness</w:t>
            </w:r>
          </w:p>
        </w:tc>
        <w:tc>
          <w:tcPr>
            <w:tcW w:type="dxa" w:w="4320"/>
          </w:tcPr>
          <w:p>
            <w:r>
              <w:t>Funds and entries ready to pay the duty and taxes owed; do not disclose without ability to settle.</w:t>
            </w:r>
          </w:p>
        </w:tc>
      </w:tr>
      <w:tr>
        <w:tc>
          <w:tcPr>
            <w:tcW w:type="dxa" w:w="4320"/>
          </w:tcPr>
          <w:p>
            <w:r>
              <w:t>Window check</w:t>
            </w:r>
          </w:p>
        </w:tc>
        <w:tc>
          <w:tcPr>
            <w:tcW w:type="dxa" w:w="4320"/>
          </w:tcPr>
          <w:p>
            <w:r>
              <w:t>Confirm submission falls within the current 11 Oct 2025 – 30 Jun 2027 window of the operative announcement.</w:t>
            </w:r>
          </w:p>
        </w:tc>
      </w:tr>
      <w:tr>
        <w:tc>
          <w:tcPr>
            <w:tcW w:type="dxa" w:w="4320"/>
          </w:tcPr>
          <w:p>
            <w:r>
              <w:t>Condition mapping</w:t>
            </w:r>
          </w:p>
        </w:tc>
        <w:tc>
          <w:tcPr>
            <w:tcW w:type="dxa" w:w="4320"/>
          </w:tcPr>
          <w:p>
            <w:r>
              <w:t>Map the facts to each statutory condition for non-penalty/reduced treatment rather than asserting leniency generally.</w:t>
            </w:r>
          </w:p>
        </w:tc>
      </w:tr>
      <w:tr>
        <w:tc>
          <w:tcPr>
            <w:tcW w:type="dxa" w:w="4320"/>
          </w:tcPr>
          <w:p>
            <w:r>
              <w:t>Process correction</w:t>
            </w:r>
          </w:p>
        </w:tc>
        <w:tc>
          <w:tcPr>
            <w:tcW w:type="dxa" w:w="4320"/>
          </w:tcPr>
          <w:p>
            <w:r>
              <w:t>Fix the underlying process so the same error does not recur in later declarations.</w:t>
            </w:r>
          </w:p>
        </w:tc>
      </w:tr>
    </w:tbl>
    <w:p/>
    <w:p>
      <w:pPr>
        <w:pStyle w:val="Heading2"/>
      </w:pPr>
      <w:r>
        <w:t>FAQ</w:t>
      </w:r>
    </w:p>
    <w:p>
      <w:r>
        <w:rPr>
          <w:b/>
        </w:rPr>
        <w:t>What is customs voluntary disclosure?</w:t>
      </w:r>
    </w:p>
    <w:p/>
    <w:p>
      <w:r>
        <w:t>It is a mechanism where an enterprise finds a customs non-compliance through self-inspection, reports it in writing, accepts handling and pays what is owed, potentially receiving no or reduced administrative penalty where conditions are met.</w:t>
      </w:r>
    </w:p>
    <w:p/>
    <w:p>
      <w:r>
        <w:rPr>
          <w:b/>
        </w:rPr>
        <w:t>What is the current tolerance window?</w:t>
      </w:r>
    </w:p>
    <w:p/>
    <w:p>
      <w:r>
        <w:t>The current operative announcement applies from 11 October 2025 to 30 June 2027; confirm against the announcement in force at submission, since later treatment is not assumed.</w:t>
      </w:r>
    </w:p>
    <w:p/>
    <w:p>
      <w:r>
        <w:rPr>
          <w:b/>
        </w:rPr>
        <w:t>Does voluntary disclosure waive the unpaid duty?</w:t>
      </w:r>
    </w:p>
    <w:p/>
    <w:p>
      <w:r>
        <w:t>No. The duty and import-stage taxes owed must still be paid; the leniency concerns administrative penalty and, within the rules, late-payment surcharges.</w:t>
      </w:r>
    </w:p>
    <w:p/>
    <w:p>
      <w:r>
        <w:rPr>
          <w:b/>
        </w:rPr>
        <w:t>Is non-penalty guaranteed?</w:t>
      </w:r>
    </w:p>
    <w:p/>
    <w:p>
      <w:r>
        <w:t>No. It is assessed case by case against the statutory conditions; this guide does not promise an outcome or a fixed reduction ratio.</w:t>
      </w:r>
    </w:p>
    <w:p/>
    <w:p>
      <w:r>
        <w:rPr>
          <w:b/>
        </w:rPr>
        <w:t>Does timing matter?</w:t>
      </w:r>
    </w:p>
    <w:p/>
    <w:p>
      <w:r>
        <w:t>Decisively. Disclosure is strongest before customs has started its own investigation or audit into the same conduct.</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主动披露不予/减轻处罚情形与执行期（现行公告，2025-10-11至2027-06-30）</w:t>
            </w:r>
          </w:p>
        </w:tc>
        <w:tc>
          <w:tcPr>
            <w:tcW w:type="dxa" w:w="1234"/>
          </w:tcPr>
          <w:p>
            <w:r>
              <w:t>中华人民共和国海关总署</w:t>
            </w:r>
          </w:p>
        </w:tc>
        <w:tc>
          <w:tcPr>
            <w:tcW w:type="dxa" w:w="1234"/>
          </w:tcPr>
          <w:p>
            <w:r>
              <w:t>CN</w:t>
            </w:r>
          </w:p>
        </w:tc>
        <w:tc>
          <w:tcPr>
            <w:tcW w:type="dxa" w:w="1234"/>
          </w:tcPr>
          <w:p>
            <w:r>
              <w:t>T1</w:t>
            </w:r>
          </w:p>
        </w:tc>
        <w:tc>
          <w:tcPr>
            <w:tcW w:type="dxa" w:w="1234"/>
          </w:tcPr>
          <w:p>
            <w:r>
              <w:t>TIME_SENSITIVE</w:t>
            </w:r>
          </w:p>
        </w:tc>
        <w:tc>
          <w:tcPr>
            <w:tcW w:type="dxa" w:w="1234"/>
          </w:tcPr>
          <w:p>
            <w:r>
              <w:t>http://www.customs.gov.cn/customs/2025-10/16/article_2025112113223334087.html</w:t>
            </w:r>
          </w:p>
        </w:tc>
        <w:tc>
          <w:tcPr>
            <w:tcW w:type="dxa" w:w="1234"/>
          </w:tcPr>
          <w:p>
            <w:r>
              <w:t>主动披露, 不予处罚情形, 执行期</w:t>
            </w:r>
          </w:p>
        </w:tc>
      </w:tr>
      <w:tr>
        <w:tc>
          <w:tcPr>
            <w:tcW w:type="dxa" w:w="1234"/>
          </w:tcPr>
          <w:p>
            <w:r>
              <w:t>主动披露政策解读与适用情形</w:t>
            </w:r>
          </w:p>
        </w:tc>
        <w:tc>
          <w:tcPr>
            <w:tcW w:type="dxa" w:w="1234"/>
          </w:tcPr>
          <w:p>
            <w:r>
              <w:t>中华人民共和国海关总署</w:t>
            </w:r>
          </w:p>
        </w:tc>
        <w:tc>
          <w:tcPr>
            <w:tcW w:type="dxa" w:w="1234"/>
          </w:tcPr>
          <w:p>
            <w:r>
              <w:t>CN</w:t>
            </w:r>
          </w:p>
        </w:tc>
        <w:tc>
          <w:tcPr>
            <w:tcW w:type="dxa" w:w="1234"/>
          </w:tcPr>
          <w:p>
            <w:r>
              <w:t>T1</w:t>
            </w:r>
          </w:p>
        </w:tc>
        <w:tc>
          <w:tcPr>
            <w:tcW w:type="dxa" w:w="1234"/>
          </w:tcPr>
          <w:p>
            <w:r>
              <w:t>VERIFIED</w:t>
            </w:r>
          </w:p>
        </w:tc>
        <w:tc>
          <w:tcPr>
            <w:tcW w:type="dxa" w:w="1234"/>
          </w:tcPr>
          <w:p>
            <w:r>
              <w:t>http://www.customs.gov.cn/customs/2026-04/28/article_2026042810424858921.html</w:t>
            </w:r>
          </w:p>
        </w:tc>
        <w:tc>
          <w:tcPr>
            <w:tcW w:type="dxa" w:w="1234"/>
          </w:tcPr>
          <w:p>
            <w:r>
              <w:t>政策解读, 适用情形</w:t>
            </w:r>
          </w:p>
        </w:tc>
      </w:tr>
      <w:tr>
        <w:tc>
          <w:tcPr>
            <w:tcW w:type="dxa" w:w="1234"/>
          </w:tcPr>
          <w:p>
            <w:r>
              <w:t>海关稽查条例及实施办法（主动披露依据，含第27条）</w:t>
            </w:r>
          </w:p>
        </w:tc>
        <w:tc>
          <w:tcPr>
            <w:tcW w:type="dxa" w:w="1234"/>
          </w:tcPr>
          <w:p>
            <w:r>
              <w:t>中华人民共和国海关总署</w:t>
            </w:r>
          </w:p>
        </w:tc>
        <w:tc>
          <w:tcPr>
            <w:tcW w:type="dxa" w:w="1234"/>
          </w:tcPr>
          <w:p>
            <w:r>
              <w:t>CN</w:t>
            </w:r>
          </w:p>
        </w:tc>
        <w:tc>
          <w:tcPr>
            <w:tcW w:type="dxa" w:w="1234"/>
          </w:tcPr>
          <w:p>
            <w:r>
              <w:t>T1</w:t>
            </w:r>
          </w:p>
        </w:tc>
        <w:tc>
          <w:tcPr>
            <w:tcW w:type="dxa" w:w="1234"/>
          </w:tcPr>
          <w:p>
            <w:r>
              <w:t>VERIFIED</w:t>
            </w:r>
          </w:p>
        </w:tc>
        <w:tc>
          <w:tcPr>
            <w:tcW w:type="dxa" w:w="1234"/>
          </w:tcPr>
          <w:p>
            <w:r>
              <w:t>http://www.customs.gov.cn/customs/2026-01/13/article_2026041015241473300.html</w:t>
            </w:r>
          </w:p>
        </w:tc>
        <w:tc>
          <w:tcPr>
            <w:tcW w:type="dxa" w:w="1234"/>
          </w:tcPr>
          <w:p>
            <w:r>
              <w:t>稽查条例, 主动披露依据</w:t>
            </w:r>
          </w:p>
        </w:tc>
      </w:tr>
      <w:tr>
        <w:tc>
          <w:tcPr>
            <w:tcW w:type="dxa" w:w="1234"/>
          </w:tcPr>
          <w:p>
            <w:r>
              <w:t>主动披露政策沿革（单一窗口地方站，背景）</w:t>
            </w:r>
          </w:p>
        </w:tc>
        <w:tc>
          <w:tcPr>
            <w:tcW w:type="dxa" w:w="1234"/>
          </w:tcPr>
          <w:p>
            <w:r>
              <w:t>福建国际贸易单一窗口</w:t>
            </w:r>
          </w:p>
        </w:tc>
        <w:tc>
          <w:tcPr>
            <w:tcW w:type="dxa" w:w="1234"/>
          </w:tcPr>
          <w:p>
            <w:r>
              <w:t>CN</w:t>
            </w:r>
          </w:p>
        </w:tc>
        <w:tc>
          <w:tcPr>
            <w:tcW w:type="dxa" w:w="1234"/>
          </w:tcPr>
          <w:p>
            <w:r>
              <w:t>T2</w:t>
            </w:r>
          </w:p>
        </w:tc>
        <w:tc>
          <w:tcPr>
            <w:tcW w:type="dxa" w:w="1234"/>
          </w:tcPr>
          <w:p>
            <w:r>
              <w:t>CROSS_CHECKED</w:t>
            </w:r>
          </w:p>
        </w:tc>
        <w:tc>
          <w:tcPr>
            <w:tcW w:type="dxa" w:w="1234"/>
          </w:tcPr>
          <w:p>
            <w:r>
              <w:t>https://www.fjdport.gov.cn/fj/news/content?contentId=1730515485179834369</w:t>
            </w:r>
          </w:p>
        </w:tc>
        <w:tc>
          <w:tcPr>
            <w:tcW w:type="dxa" w:w="1234"/>
          </w:tcPr>
          <w:p>
            <w:r>
              <w:t>政策沿革</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2026-09-07</w:t>
      </w:r>
    </w:p>
    <w:p>
      <w:pPr>
        <w:pStyle w:val="ListBullet"/>
      </w:pPr>
      <w:r>
        <w:rPr>
          <w:b/>
        </w:rPr>
        <w:t>Reference market</w:t>
      </w:r>
      <w:r>
        <w:t>: CN（中国海关主动披露；现行宽容窗口时间敏感，逐案结果以海关认定为准）</w:t>
      </w:r>
    </w:p>
    <w:p>
      <w:pPr>
        <w:pStyle w:val="ListBullet"/>
      </w:pPr>
      <w:r>
        <w:rPr>
          <w:b/>
        </w:rPr>
        <w:t>Verification method</w:t>
      </w:r>
      <w:r>
        <w:t>: Desk research against the sources below; Chinese-market reference framework only. Whether a specific case qualifies for non-penalty or reduced treatment, and any post-window policy, must be confirmed against the current official announcement and the handling customs before 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