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Importing a Chinese EV Into Russia / the EAEU: Type Approval, ERA-GLONASS and the Documents That Must Agree</w:t>
      </w:r>
    </w:p>
    <w:p>
      <w:pPr>
        <w:pStyle w:val="Heading2"/>
      </w:pPr>
      <w:r>
        <w:t>SEO Metadata</w:t>
      </w:r>
    </w:p>
    <w:p>
      <w:pPr>
        <w:pStyle w:val="ListBullet"/>
      </w:pPr>
      <w:r>
        <w:rPr>
          <w:b/>
        </w:rPr>
        <w:t>SEO Title</w:t>
      </w:r>
      <w:r>
        <w:t>: Import a Chinese EV to Russia: EAEU Type Approval &amp; Customs Path</w:t>
      </w:r>
    </w:p>
    <w:p>
      <w:pPr>
        <w:pStyle w:val="ListBullet"/>
      </w:pPr>
      <w:r>
        <w:rPr>
          <w:b/>
        </w:rPr>
        <w:t>Meta Description</w:t>
      </w:r>
      <w:r>
        <w:t>: The Russia/EAEU conformity route for a Chinese EV — TR CU 018/2011 OTTC vs SBKTS, ERA-GLONASS under the regulation, EPTS, the China 2026 export-licence rule, and exactly what to confirm before paying.</w:t>
      </w:r>
    </w:p>
    <w:p>
      <w:pPr>
        <w:pStyle w:val="ListBullet"/>
      </w:pPr>
      <w:r>
        <w:rPr>
          <w:b/>
        </w:rPr>
        <w:t>Suggested URL</w:t>
      </w:r>
      <w:r>
        <w:t>: /guides/import-chinese-ev-to-russia-eac-ottc/</w:t>
      </w:r>
    </w:p>
    <w:p>
      <w:pPr>
        <w:pStyle w:val="ListBullet"/>
      </w:pPr>
      <w:r>
        <w:rPr>
          <w:b/>
        </w:rPr>
        <w:t>H1</w:t>
      </w:r>
      <w:r>
        <w:t>: How a Chinese Electric Vehicle Clears Russia / the EAEU: Conformity Route and Customs Paperwork</w:t>
      </w:r>
    </w:p>
    <w:p>
      <w:pPr>
        <w:pStyle w:val="ListBullet"/>
      </w:pPr>
      <w:r>
        <w:rPr>
          <w:b/>
        </w:rPr>
        <w:t>Primary Keyword</w:t>
      </w:r>
      <w:r>
        <w:t>: import Chinese EV to Russia EAEU OTTC SBKTS customs</w:t>
      </w:r>
    </w:p>
    <w:p>
      <w:pPr>
        <w:pStyle w:val="ListBullet"/>
      </w:pPr>
      <w:r>
        <w:rPr>
          <w:b/>
        </w:rPr>
        <w:t>Secondary Search Terms</w:t>
      </w:r>
      <w:r>
        <w:t>: TR CU 018/2011 wheeled vehicles, EAEU vehicle type approval, SBKTS single vehicle certificate, ERA-GLONASS requirement, EPTS electronic passport, China EV export license 2026</w:t>
      </w:r>
    </w:p>
    <w:p>
      <w:pPr>
        <w:pStyle w:val="ListBullet"/>
      </w:pPr>
      <w:r>
        <w:rPr>
          <w:b/>
        </w:rPr>
        <w:t>Internal Link Suggestions</w:t>
      </w:r>
      <w:r>
        <w:t>: /guides/vehicle-import-payment-tt-vs-lc/ ; /guides/marine-cargo-insurance-car-import/ ; /guides/verify-china-car-export-supplier/</w:t>
      </w:r>
    </w:p>
    <w:p>
      <w:pPr>
        <w:pStyle w:val="ListBullet"/>
      </w:pPr>
      <w:r>
        <w:rPr>
          <w:b/>
        </w:rPr>
        <w:t>Image Suggestions</w:t>
      </w:r>
      <w:r>
        <w:t>: OTTC-versus-SBKTS route diagram; EAC conformity mark; ERA-GLONASS terminal and SOS button; document-name consistency flow</w:t>
      </w:r>
    </w:p>
    <w:p>
      <w:pPr>
        <w:pStyle w:val="ListBullet"/>
      </w:pPr>
      <w:r>
        <w:rPr>
          <w:b/>
        </w:rPr>
        <w:t>ALT Suggestions</w:t>
      </w:r>
      <w:r>
        <w:t>: "EAEU OTTC versus SBKTS vehicle certification routes"; "EAC conformity mark"; "documents that must name the same importer and VIN"</w:t>
      </w:r>
    </w:p>
    <w:p>
      <w:pPr>
        <w:pStyle w:val="Heading2"/>
      </w:pPr>
      <w:r>
        <w:t>The Actual Problem for a B2B Importer</w:t>
      </w:r>
    </w:p>
    <w:p>
      <w:r>
        <w:t xml:space="preserve">A Chinese EV reaches a Russian buyer only after three things line up: a </w:t>
      </w:r>
      <w:r>
        <w:rPr>
          <w:b/>
        </w:rPr>
        <w:t>valid EAEU conformity document</w:t>
      </w:r>
      <w:r>
        <w:t xml:space="preserve">, an </w:t>
      </w:r>
      <w:r>
        <w:rPr>
          <w:b/>
        </w:rPr>
        <w:t>emergency-call provision accepted for registration</w:t>
      </w:r>
      <w:r>
        <w:t xml:space="preserve">, and a </w:t>
      </w:r>
      <w:r>
        <w:rPr>
          <w:b/>
        </w:rPr>
        <w:t>customs/document package whose legal entities are reconciled across the conformity certificate, the importer of record and the invoice</w:t>
      </w:r>
      <w:r>
        <w:t xml:space="preserve">. In practice, shipments most often run into trouble when those documents name different parties, or when a per-unit certificate is expected to behave like a batch type approval. This is presented as a procurement risk-control step; the precise legal-entity requirements for a given route should be confirmed with the accredited body and a customs broker. This guide is specific to </w:t>
      </w:r>
      <w:r>
        <w:rPr>
          <w:b/>
        </w:rPr>
        <w:t>Russia within the Eurasian Economic Union (EAEU)</w:t>
      </w:r>
      <w:r>
        <w:t>; it is not a generic "CIS" statement, and it deliberately separates regulation that is settled from cost/process points that change and must be confirmed live.</w:t>
      </w:r>
    </w:p>
    <w:p>
      <w:pPr>
        <w:pStyle w:val="Heading2"/>
      </w:pPr>
      <w:r>
        <w:t>The Settled Backbone: TR CU 018/2011</w:t>
      </w:r>
    </w:p>
    <w:p>
      <w:r>
        <w:t xml:space="preserve">Electric, plug-in hybrid and hybrid road vehicles fall within the </w:t>
      </w:r>
      <w:r>
        <w:rPr>
          <w:b/>
        </w:rPr>
        <w:t>mandatory scope of EAEU technical regulation TR CU 018/2011 "On the safety of wheeled vehicles"</w:t>
      </w:r>
      <w:r>
        <w:t xml:space="preserve">. The regulation was </w:t>
      </w:r>
      <w:r>
        <w:rPr>
          <w:b/>
        </w:rPr>
        <w:t>adopted by Decision of the Customs Union Commission No. 877 of 9 December 2011 and entered into force on 1 January 2015</w:t>
      </w:r>
      <w:r>
        <w:t xml:space="preserve"> (the official legal register of the EAEU carries the consolidated text; VERIFIED). It applies to L/M/N/O-category vehicles; ordinary road EVs do not qualify for the narrow exemptions (racing, military, certain agricultural machinery). Two conformity routes follow from it: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Route</w:t>
            </w:r>
          </w:p>
        </w:tc>
        <w:tc>
          <w:tcPr>
            <w:tcW w:type="dxa" w:w="2880"/>
          </w:tcPr>
          <w:p>
            <w:r>
              <w:t>What it is</w:t>
            </w:r>
          </w:p>
        </w:tc>
        <w:tc>
          <w:tcPr>
            <w:tcW w:type="dxa" w:w="2880"/>
          </w:tcPr>
          <w:p>
            <w:r>
              <w:t>When it fits</w:t>
            </w:r>
          </w:p>
        </w:tc>
      </w:tr>
      <w:tr>
        <w:tc>
          <w:tcPr>
            <w:tcW w:type="dxa" w:w="2880"/>
          </w:tcPr>
          <w:p>
            <w:r>
              <w:t>**OTTC** — Vehicle Type Approval (Одобрение типа ТС)</w:t>
            </w:r>
          </w:p>
        </w:tc>
        <w:tc>
          <w:tcPr>
            <w:tcW w:type="dxa" w:w="2880"/>
          </w:tcPr>
          <w:p>
            <w:r>
              <w:t>Whole-type approval for a series, held by a manufacturer or an importer of record established in the EAEU</w:t>
            </w:r>
          </w:p>
        </w:tc>
        <w:tc>
          <w:tcPr>
            <w:tcW w:type="dxa" w:w="2880"/>
          </w:tcPr>
          <w:p>
            <w:r>
              <w:t>Repeated B2B shipments of the same model; the scalable path</w:t>
            </w:r>
          </w:p>
        </w:tc>
      </w:tr>
      <w:tr>
        <w:tc>
          <w:tcPr>
            <w:tcW w:type="dxa" w:w="2880"/>
          </w:tcPr>
          <w:p>
            <w:r>
              <w:t>**SBKTS** — Single-Vehicle Safety Certificate (Свидетельство безопасности конструкции ТС)</w:t>
            </w:r>
          </w:p>
        </w:tc>
        <w:tc>
          <w:tcPr>
            <w:tcW w:type="dxa" w:w="2880"/>
          </w:tcPr>
          <w:p>
            <w:r>
              <w:t>Per-vehicle design-safety assessment, with an EPTS issued on that basis</w:t>
            </w:r>
          </w:p>
        </w:tc>
        <w:tc>
          <w:tcPr>
            <w:tcW w:type="dxa" w:w="2880"/>
          </w:tcPr>
          <w:p>
            <w:r>
              <w:t>Single units and used vehicles, where no OTTC covers the model</w:t>
            </w:r>
          </w:p>
        </w:tc>
      </w:tr>
    </w:tbl>
    <w:p>
      <w:r>
        <w:t xml:space="preserve">An EV then receives an </w:t>
      </w:r>
      <w:r>
        <w:rPr>
          <w:b/>
        </w:rPr>
        <w:t>EPTS (electronic vehicle passport)</w:t>
      </w:r>
      <w:r>
        <w:t xml:space="preserve"> and can only be registered with the traffic authority on a valid EPTS. For a fleet programme, budget for an OTTC held by a properly established EAEU entity; per-unit SBKTS is slow and does not scale. Engage an </w:t>
      </w:r>
      <w:r>
        <w:rPr>
          <w:b/>
        </w:rPr>
        <w:t>EAEU-accredited certification body/laboratory</w:t>
      </w:r>
      <w:r>
        <w:t xml:space="preserve"> early — testing and documentation lead time usually exceeds ocean transit.</w:t>
      </w:r>
    </w:p>
    <w:p>
      <w:pPr>
        <w:pStyle w:val="Heading2"/>
      </w:pPr>
      <w:r>
        <w:t>ERA-GLONASS: a Regulation Requirement With Changing Implementation Details</w:t>
      </w:r>
    </w:p>
    <w:p>
      <w:r>
        <w:t>The emergency-call system (</w:t>
      </w:r>
      <w:r>
        <w:rPr>
          <w:b/>
        </w:rPr>
        <w:t>ERA-GLONASS / УВЭОС</w:t>
      </w:r>
      <w:r>
        <w:t xml:space="preserve">) is part of the TR CU 018/2011 framework for M/N-category vehicles placed on the EAEU market — that requirement is regulatory and durable. What has </w:t>
      </w:r>
      <w:r>
        <w:rPr>
          <w:b/>
        </w:rPr>
        <w:t>changed repeatedly is the treatment of single / personally imported vehicles</w:t>
      </w:r>
      <w:r>
        <w:t xml:space="preserve">: temporary exemptions for individual imports have been introduced, tightened and re-imposed at different dates. Because those exemption windows are set by separate implementing decisions and were not captured from an official Russian source for this article, do </w:t>
      </w:r>
      <w:r>
        <w:rPr>
          <w:b/>
        </w:rPr>
        <w:t>not</w:t>
      </w:r>
      <w:r>
        <w:t xml:space="preserve"> rely on a media-stated reinstatement date. Before ordering, obtain from the accredited body a written answer to three concrete questions: (1) whether your specific unit/route requires a fitted, activated terminal; (2) which devices and fitting centres are approved; and (3) how the requirement differs between a legal-entity batch import and a personal single import. Do not assume that a Chinese-market e-call unit satisfies ERA-GLONASS/УВЭОС requirements — confirm compatibility and acceptance with the accredited body for the specific route rather than treating a domestic e-call system as equivalent.</w:t>
      </w:r>
    </w:p>
    <w:p>
      <w:pPr>
        <w:pStyle w:val="Heading2"/>
      </w:pPr>
      <w:r>
        <w:t>Duties, VAT, Utilisation Fee and Routing: Verify — Do Not Quote Media Numbers</w:t>
      </w:r>
    </w:p>
    <w:p>
      <w:r>
        <w:t xml:space="preserve">Several cost and routing points circulate in Russian-language industry media with </w:t>
      </w:r>
      <w:r>
        <w:rPr>
          <w:b/>
        </w:rPr>
        <w:t>mutually inconsistent figures</w:t>
      </w:r>
      <w:r>
        <w:t>, which is itself the warning:</w:t>
      </w:r>
    </w:p>
    <w:p>
      <w:pPr>
        <w:pStyle w:val="ListBullet"/>
      </w:pPr>
      <w:r>
        <w:rPr>
          <w:b/>
        </w:rPr>
        <w:t>Import duty for EVs</w:t>
      </w:r>
      <w:r>
        <w:t xml:space="preserve">: outlets disagree sharply, with some citing a zero rate for HS 8703.80 and others a high percentage from a given 2026 date. No Russian Federal Customs Service (FTS) or Eurasian Economic Commission primary decision was captured here, so </w:t>
      </w:r>
      <w:r>
        <w:rPr>
          <w:b/>
        </w:rPr>
        <w:t>no duty percentage is stated as fact</w:t>
      </w:r>
      <w:r>
        <w:t>. Classify the exact HS code and read the current EAEU Common Customs Tariff plus any temporary decision before building a landed-cost sheet.</w:t>
      </w:r>
    </w:p>
    <w:p>
      <w:pPr>
        <w:pStyle w:val="ListBullet"/>
      </w:pPr>
      <w:r>
        <w:rPr>
          <w:b/>
        </w:rPr>
        <w:t>Import VAT and recycling/utilisation fee (утильсбор)</w:t>
      </w:r>
      <w:r>
        <w:t>: VAT is governed by the Russian Tax Code and the utilisation fee by a separate schedule that is revised periodically; confirm the current rates and the importer category with FTS / an accredited customs broker rather than copying a press figure.</w:t>
      </w:r>
    </w:p>
    <w:p>
      <w:pPr>
        <w:pStyle w:val="ListBullet"/>
      </w:pPr>
      <w:r>
        <w:rPr>
          <w:b/>
        </w:rPr>
        <w:t>"Direct import only / no transit via Belarus, Kazakhstan, Kyrgyzstan"</w:t>
      </w:r>
      <w:r>
        <w:t xml:space="preserve">: this claim appears in a single 2026 industry guide with no captured customs-instruction primary source. Treat triangular EAEU routing as a </w:t>
      </w:r>
      <w:r>
        <w:rPr>
          <w:b/>
        </w:rPr>
        <w:t>point to confirm in writing with customs counsel</w:t>
      </w:r>
      <w:r>
        <w:t>, never as a settled prohibition or a settled permission.</w:t>
      </w:r>
    </w:p>
    <w:p>
      <w:r>
        <w:t xml:space="preserve">Build landed cost as an </w:t>
      </w:r>
      <w:r>
        <w:rPr>
          <w:b/>
        </w:rPr>
        <w:t>FTS-confirmed stack</w:t>
      </w:r>
      <w:r>
        <w:t xml:space="preserve"> — duty + VAT + utilisation fee + certification + ERA-GLONASS fitment + logistics + insurance — not as a single borrowed percentage.</w:t>
      </w:r>
    </w:p>
    <w:p>
      <w:pPr>
        <w:pStyle w:val="Heading2"/>
      </w:pPr>
      <w:r>
        <w:t>The China Side: the 2026 Export-Licence Rule Is Now Official</w:t>
      </w:r>
    </w:p>
    <w:p>
      <w:r>
        <w:t>Unlike the cost points above, the Chinese export-control side is now anchored in primary documents (VERIFIED):</w:t>
      </w:r>
    </w:p>
    <w:p>
      <w:pPr>
        <w:pStyle w:val="ListBullet"/>
      </w:pPr>
      <w:r>
        <w:rPr>
          <w:b/>
        </w:rPr>
        <w:t>MOFCOM General Office Notice on the 2026 automobile/motorcycle export-licence application (商办贸函〔2025〕408号, 28 Sep 2025)</w:t>
      </w:r>
      <w:r>
        <w:t xml:space="preserve"> sets the online application system (ecomp.licence.org.cn), local-commerce preliminary review and the published qualified-enterprise list.</w:t>
      </w:r>
    </w:p>
    <w:p>
      <w:pPr>
        <w:pStyle w:val="ListBullet"/>
      </w:pPr>
      <w:r>
        <w:rPr>
          <w:b/>
        </w:rPr>
        <w:t>Joint Announcement No. 54 (2025) of MOFCOM, MIIT, GAC and SAMR</w:t>
      </w:r>
      <w:r>
        <w:t xml:space="preserve"> puts </w:t>
      </w:r>
      <w:r>
        <w:rPr>
          <w:b/>
        </w:rPr>
        <w:t>pure-electric passenger vehicles (reference HS 8703801090) under an export-licence regime from 1 January 2026</w:t>
      </w:r>
      <w:r>
        <w:t>.</w:t>
      </w:r>
    </w:p>
    <w:p>
      <w:pPr>
        <w:pStyle w:val="ListBullet"/>
      </w:pPr>
      <w:r>
        <w:t xml:space="preserve">The </w:t>
      </w:r>
      <w:r>
        <w:rPr>
          <w:b/>
        </w:rPr>
        <w:t>2026 list of enterprises qualified to apply for vehicle export licences</w:t>
      </w:r>
      <w:r>
        <w:t xml:space="preserve"> was published on 30 Dec 2025.</w:t>
      </w:r>
    </w:p>
    <w:p>
      <w:r>
        <w:t>Operationally this means your Chinese counterparty must be able to show, for the exact model: valid export qualification / a place on the current list, brand authorisation, and battery transport documentation (e.g., UN38.3). See the supplier-vetting guide for the authorisation-chain method.</w:t>
      </w:r>
    </w:p>
    <w:p>
      <w:pPr>
        <w:pStyle w:val="Heading2"/>
      </w:pPr>
      <w:r>
        <w:t>What AutoBridge Adds Beyond a Compliance Summary</w:t>
      </w:r>
    </w:p>
    <w:p>
      <w:r>
        <w:t>Generic guides quote the same acronyms without resolving the deal. Our editorial procurement framework recommends (i) a single-page reconciliation of the conformity holder, customs importer of record and invoice party, (ii) deciding OTTC-or-SBKTS for each VIN before the PI is signed, and (iii) checking the Chinese exporter against the current-year MOFCOM licence list and the 2026 pure-EV passenger licensing rule — the points at which a mismatch (importer of record; unlicensed EV exporter) most often blocks a shipment.</w:t>
      </w:r>
    </w:p>
    <w:p>
      <w:pPr>
        <w:pStyle w:val="Heading2"/>
      </w:pPr>
      <w:r>
        <w:t>Operating Sequence</w:t>
      </w:r>
    </w:p>
    <w:p>
      <w:pPr>
        <w:pStyle w:val="ListNumber"/>
      </w:pPr>
      <w:r>
        <w:t>Fix model/variant and decide OTTC (batch) vs SBKTS (single/used); contract an EAEU-accredited body and obtain a written scope/timeline.</w:t>
      </w:r>
    </w:p>
    <w:p>
      <w:pPr>
        <w:pStyle w:val="ListNumber"/>
      </w:pPr>
      <w:r>
        <w:t>Establish the EAEU importer of record and reconcile that entity across the OTTC/SBKTS, contract, invoice and customs filing (seek written confirmation where the conformity holder differs from the consignee).</w:t>
      </w:r>
    </w:p>
    <w:p>
      <w:pPr>
        <w:pStyle w:val="ListNumber"/>
      </w:pPr>
      <w:r>
        <w:t>Obtain written confirmation of the ERA-GLONASS requirement, approved device/fitter and cost for your import category.</w:t>
      </w:r>
    </w:p>
    <w:p>
      <w:pPr>
        <w:pStyle w:val="ListNumber"/>
      </w:pPr>
      <w:r>
        <w:t xml:space="preserve">Classify HS 8703.80 and obtain the </w:t>
      </w:r>
      <w:r>
        <w:rPr>
          <w:b/>
        </w:rPr>
        <w:t>current</w:t>
      </w:r>
      <w:r>
        <w:t xml:space="preserve"> duty/VAT/utilisation-fee figures from FTS/EEC sources before signing.</w:t>
      </w:r>
    </w:p>
    <w:p>
      <w:pPr>
        <w:pStyle w:val="ListNumber"/>
      </w:pPr>
      <w:r>
        <w:t>Verify the Chinese exporter's 2026 export-licence status, brand authorisation and battery documents.</w:t>
      </w:r>
    </w:p>
    <w:p>
      <w:pPr>
        <w:pStyle w:val="ListNumber"/>
      </w:pPr>
      <w:r>
        <w:t>Confirm in writing whether any third-EAEU-country transit is permissible for your shipment; align Incoterms, payment schedule and marine insurance with the certification lead time.</w:t>
      </w:r>
    </w:p>
    <w:p>
      <w:pPr>
        <w:pStyle w:val="Heading2"/>
      </w:pPr>
      <w:r>
        <w:t>Points to Hold Back From a Customer Quote Until Confirmed</w:t>
      </w:r>
    </w:p>
    <w:p>
      <w:pPr>
        <w:pStyle w:val="ListBullet"/>
      </w:pPr>
      <w:r>
        <w:t>Any specific EV import-duty percentage (sources conflict; no FTS primary captured).</w:t>
      </w:r>
    </w:p>
    <w:p>
      <w:pPr>
        <w:pStyle w:val="ListBullet"/>
      </w:pPr>
      <w:r>
        <w:t>Any specific date on which a personal-import ERA-GLONASS exemption began or ended.</w:t>
      </w:r>
    </w:p>
    <w:p>
      <w:pPr>
        <w:pStyle w:val="ListBullet"/>
      </w:pPr>
      <w:r>
        <w:t>Any blanket statement that EAEU transit routing is prohibited (or permitted).</w:t>
      </w:r>
    </w:p>
    <w:p>
      <w:pPr>
        <w:pStyle w:val="ListBullet"/>
      </w:pPr>
      <w:r>
        <w:t>A final landed cost built from press percentages rather than the current tariff and fee schedule.</w:t>
      </w:r>
    </w:p>
    <w:p>
      <w:pPr>
        <w:pStyle w:val="Heading2"/>
      </w:pPr>
      <w:r>
        <w:t>Frequently Asked Questions</w:t>
      </w:r>
    </w:p>
    <w:p>
      <w:r>
        <w:rPr>
          <w:b/>
        </w:rPr>
        <w:t>Does a Chinese EV need EAEU type approval?</w:t>
      </w:r>
      <w:r>
        <w:t xml:space="preserve"> Yes — ordinary road EVs are within the mandatory scope of TR CU 018/2011 (Customs Union Commission Decision No. 877, 2011); choose OTTC for batches or SBKTS for single/used units.</w:t>
      </w:r>
    </w:p>
    <w:p>
      <w:r>
        <w:rPr>
          <w:b/>
        </w:rPr>
        <w:t>Is ERA-GLONASS mandatory?</w:t>
      </w:r>
      <w:r>
        <w:t xml:space="preserve"> The emergency-call requirement for M/N vehicles sits in TR CU 018/2011; the exact treatment of single/personal imports changes by implementing decision, so confirm the current requirement and approved fitment with an accredited body for your route.</w:t>
      </w:r>
    </w:p>
    <w:p>
      <w:r>
        <w:rPr>
          <w:b/>
        </w:rPr>
        <w:t>What is the EV import duty?</w:t>
      </w:r>
      <w:r>
        <w:t xml:space="preserve"> This article does not state a percentage: Russian-language sources conflict (zero vs a high 2026 rate) and no FTS/EEC primary decision was captured. Classify HS 8703.80 and confirm the live rate before pricing.</w:t>
      </w:r>
    </w:p>
    <w:p>
      <w:r>
        <w:rPr>
          <w:b/>
        </w:rPr>
        <w:t>What changed on the China side in 2026?</w:t>
      </w:r>
      <w:r>
        <w:t xml:space="preserve"> From 1 January 2026 pure-electric passenger vehicles are under an export-licence regime (joint Announcement No. 54), and exporters must qualify under the 2026 MOFCOM application/list process.</w:t>
      </w:r>
    </w:p>
    <w:p>
      <w:r>
        <w:rPr>
          <w:b/>
        </w:rPr>
        <w:t>Why reconcile the importer name across documents?</w:t>
      </w:r>
      <w:r>
        <w:t xml:space="preserve"> As a risk-control matter, aligning the OTTC/SBKTS holder, customs importer of record and invoice consignee avoids clearance/registration disputes; where they cannot be identical, obtain written guidance from the accredited body or customs broker on the acceptable arrangement.</w:t>
      </w:r>
    </w:p>
    <w:p>
      <w:pPr>
        <w:pStyle w:val="Heading2"/>
      </w:pPr>
      <w:r>
        <w:t>Image Record</w:t>
      </w:r>
    </w:p>
    <w:p>
      <w:pPr>
        <w:pStyle w:val="ListBullet"/>
      </w:pPr>
      <w:r>
        <w:t>IMAGE_ASSET_PATH: none secured in repository</w:t>
      </w:r>
    </w:p>
    <w:p>
      <w:pPr>
        <w:pStyle w:val="ListBullet"/>
      </w:pPr>
      <w:r>
        <w:t>ORIGINAL_IMAGE_URL: not captured</w:t>
      </w:r>
    </w:p>
    <w:p>
      <w:pPr>
        <w:pStyle w:val="ListBullet"/>
      </w:pPr>
      <w:r>
        <w:t>SOURCE_PAGE: not captured</w:t>
      </w:r>
    </w:p>
    <w:p>
      <w:pPr>
        <w:pStyle w:val="ListBullet"/>
      </w:pPr>
      <w:r>
        <w:t>RIGHTS_HOLDER: unconfirmed</w:t>
      </w:r>
    </w:p>
    <w:p>
      <w:pPr>
        <w:pStyle w:val="ListBullet"/>
      </w:pPr>
      <w:r>
        <w:t>LICENSE_OR_USAGE_BASIS: none secured — no third-party image may be published until rights are cleared</w:t>
      </w:r>
    </w:p>
    <w:p>
      <w:pPr>
        <w:pStyle w:val="ListBullet"/>
      </w:pPr>
      <w:r>
        <w:t>CHECKED_DATE: 2026-09-05</w:t>
      </w:r>
    </w:p>
    <w:p>
      <w:pPr>
        <w:pStyle w:val="ListBullet"/>
      </w:pPr>
      <w:r>
        <w:t>MODEL_TOPIC_MATCH: must match the exact model/version (or the guide topic) and reference market above</w:t>
      </w:r>
    </w:p>
    <w:p>
      <w:pPr>
        <w:pStyle w:val="ListBullet"/>
      </w:pPr>
      <w:r>
        <w:t>IMAGE_RIGHTS_STATUS: FAIL (no licensed asset captured; a placeholder or “retain old image” note is not accepted)</w:t>
      </w:r>
    </w:p>
    <w:p>
      <w:pPr>
        <w:pStyle w:val="ListBullet"/>
      </w:pPr>
      <w:r>
        <w:t>ALT by language:</w:t>
      </w:r>
    </w:p>
    <w:p>
      <w:pPr>
        <w:pStyle w:val="ListBullet"/>
      </w:pPr>
      <w:r>
        <w:rPr>
          <w:b/>
        </w:rPr>
        <w:t>EN</w:t>
      </w:r>
      <w:r>
        <w:t>: AutoBridge export-buyer reference — Russia / EAEU EV import approval, vehicle-export procurement guide</w:t>
      </w:r>
    </w:p>
    <w:p>
      <w:pPr>
        <w:pStyle w:val="ListBullet"/>
      </w:pPr>
      <w:r>
        <w:rPr>
          <w:b/>
        </w:rPr>
        <w:t>FR</w:t>
      </w:r>
      <w:r>
        <w:t>: Référence AutoBridge pour acheteurs export — Russia / EAEU EV import approval, guide d’achat à l’export automobile</w:t>
      </w:r>
    </w:p>
    <w:p>
      <w:pPr>
        <w:pStyle w:val="ListBullet"/>
      </w:pPr>
      <w:r>
        <w:rPr>
          <w:b/>
        </w:rPr>
        <w:t>DE</w:t>
      </w:r>
      <w:r>
        <w:t>: AutoBridge-Referenz für Exportkäufer — Russia / EAEU EV import approval, Leitfaden für Fahrzeugexport-Einkauf</w:t>
      </w:r>
    </w:p>
    <w:p>
      <w:pPr>
        <w:pStyle w:val="ListBullet"/>
      </w:pPr>
      <w:r>
        <w:rPr>
          <w:b/>
        </w:rPr>
        <w:t>ES</w:t>
      </w:r>
      <w:r>
        <w:t>: Referencia AutoBridge para compradores de exportación — Russia / EAEU EV import approval, guía de compras para exportación de vehículos</w:t>
      </w:r>
    </w:p>
    <w:p>
      <w:pPr>
        <w:pStyle w:val="ListBullet"/>
      </w:pPr>
      <w:r>
        <w:rPr>
          <w:b/>
        </w:rPr>
        <w:t>PT</w:t>
      </w:r>
      <w:r>
        <w:t>: Referência AutoBridge para compradores de exportação — Russia / EAEU EV import approval, guia de compras para exportação de veículos</w:t>
      </w:r>
    </w:p>
    <w:p>
      <w:pPr>
        <w:pStyle w:val="ListBullet"/>
      </w:pPr>
      <w:r>
        <w:rPr>
          <w:b/>
        </w:rPr>
        <w:t>JA</w:t>
      </w:r>
      <w:r>
        <w:t>: AutoBridge 輸出バイヤー向けリファレンス｜Russia / EAEU EV import approval, 自動車輸出 調達ガイド</w:t>
      </w:r>
    </w:p>
    <w:p>
      <w:pPr>
        <w:pStyle w:val="ListBullet"/>
      </w:pPr>
      <w:r>
        <w:rPr>
          <w:b/>
        </w:rPr>
        <w:t>KO</w:t>
      </w:r>
      <w:r>
        <w:t>: AutoBridge 수출 바이어 참고 자료｜Russia / EAEU EV import approval, 자동차 수출 조달 가이드</w:t>
      </w:r>
    </w:p>
    <w:p>
      <w:pPr>
        <w:pStyle w:val="ListBullet"/>
      </w:pPr>
      <w:r>
        <w:rPr>
          <w:b/>
        </w:rPr>
        <w:t>VI</w:t>
      </w:r>
      <w:r>
        <w:t>: Tài liệu tham khảo AutoBridge cho người mua xuất khẩu — Russia / EAEU EV import approval, hướng dẫn thu mua xuất khẩu xe</w:t>
      </w:r>
    </w:p>
    <w:p>
      <w:pPr>
        <w:pStyle w:val="ListBullet"/>
      </w:pPr>
      <w:r>
        <w:rPr>
          <w:b/>
        </w:rPr>
        <w:t>TH</w:t>
      </w:r>
      <w:r>
        <w:t>: เอกสารอ้างอิง AutoBridge สำหรับผู้ซื้อเพื่อการส่งออก — Russia / EAEU EV import approval, คู่มือจัดซื้อเพื่อการส่งออกยานยนต์</w:t>
      </w:r>
    </w:p>
    <w:p>
      <w:pPr>
        <w:pStyle w:val="ListBullet"/>
      </w:pPr>
      <w:r>
        <w:rPr>
          <w:b/>
        </w:rPr>
        <w:t>ID</w:t>
      </w:r>
      <w:r>
        <w:t>: Referensi AutoBridge untuk pembeli ekspor — Russia / EAEU EV import approval, panduan pengadaan ekspor kendaraan</w:t>
      </w:r>
    </w:p>
    <w:p>
      <w:pPr>
        <w:pStyle w:val="ListBullet"/>
      </w:pPr>
      <w:r>
        <w:rPr>
          <w:b/>
        </w:rPr>
        <w:t>AR</w:t>
      </w:r>
      <w:r>
        <w:t>: مرجع AutoBridge لمشتري التصدير — Russia / EAEU EV import approval, دليل مشتريات تصدير المركبات</w:t>
      </w:r>
    </w:p>
    <w:p>
      <w:pPr>
        <w:pStyle w:val="ListBullet"/>
      </w:pPr>
      <w:r>
        <w:rPr>
          <w:b/>
        </w:rPr>
        <w:t>ZH</w:t>
      </w:r>
      <w:r>
        <w:t>: AutoBridge 出口采购参考｜Russia / EAEU EV import approval, 汽车出口采购指南</w:t>
      </w:r>
    </w:p>
    <w:p/>
    <w:p>
      <w:pPr>
        <w:pStyle w:val="Heading2"/>
      </w:pPr>
      <w:r>
        <w:t>Sources &amp; Verification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Source title</w:t>
            </w:r>
          </w:p>
        </w:tc>
        <w:tc>
          <w:tcPr>
            <w:tcW w:type="dxa" w:w="1234"/>
          </w:tcPr>
          <w:p>
            <w:r>
              <w:t>Organization</w:t>
            </w:r>
          </w:p>
        </w:tc>
        <w:tc>
          <w:tcPr>
            <w:tcW w:type="dxa" w:w="1234"/>
          </w:tcPr>
          <w:p>
            <w:r>
              <w:t>Market</w:t>
            </w:r>
          </w:p>
        </w:tc>
        <w:tc>
          <w:tcPr>
            <w:tcW w:type="dxa" w:w="1234"/>
          </w:tcPr>
          <w:p>
            <w:r>
              <w:t>URL</w:t>
            </w:r>
          </w:p>
        </w:tc>
        <w:tc>
          <w:tcPr>
            <w:tcW w:type="dxa" w:w="1234"/>
          </w:tcPr>
          <w:p>
            <w:r>
              <w:t>Checked</w:t>
            </w:r>
          </w:p>
        </w:tc>
        <w:tc>
          <w:tcPr>
            <w:tcW w:type="dxa" w:w="1234"/>
          </w:tcPr>
          <w:p>
            <w:r>
              <w:t>Confidence</w:t>
            </w:r>
          </w:p>
        </w:tc>
        <w:tc>
          <w:tcPr>
            <w:tcW w:type="dxa" w:w="1234"/>
          </w:tcPr>
          <w:p>
            <w:r>
              <w:t>Supported facts</w:t>
            </w:r>
          </w:p>
        </w:tc>
      </w:tr>
      <w:tr>
        <w:tc>
          <w:tcPr>
            <w:tcW w:type="dxa" w:w="1234"/>
          </w:tcPr>
          <w:p>
            <w:r>
              <w:t>TR CU 018/2011 consolidated regulation (index; adopted by Customs Union Commission Decision No. 877, 09.12.2011)</w:t>
            </w:r>
          </w:p>
        </w:tc>
        <w:tc>
          <w:tcPr>
            <w:tcW w:type="dxa" w:w="1234"/>
          </w:tcPr>
          <w:p>
            <w:r>
              <w:t>Eurasian Economic Union legal register (**regulator official**)</w:t>
            </w:r>
          </w:p>
        </w:tc>
        <w:tc>
          <w:tcPr>
            <w:tcW w:type="dxa" w:w="1234"/>
          </w:tcPr>
          <w:p>
            <w:r>
              <w:t>EAEU</w:t>
            </w:r>
          </w:p>
        </w:tc>
        <w:tc>
          <w:tcPr>
            <w:tcW w:type="dxa" w:w="1234"/>
          </w:tcPr>
          <w:p>
            <w:r>
              <w:t>https://regulation.eaeunion.org/ (search "ТР ТС 018/2011" / Decision 877)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Regulation scope (L/M/N/O), adoption decision, in-force date, ERA-GLONASS framework</w:t>
            </w:r>
          </w:p>
        </w:tc>
      </w:tr>
      <w:tr>
        <w:tc>
          <w:tcPr>
            <w:tcW w:type="dxa" w:w="1234"/>
          </w:tcPr>
          <w:p>
            <w:r>
              <w:t>Decision No. 877 + TR CU 018/2011 — direct consolidated full text (amended through 2026)</w:t>
            </w:r>
          </w:p>
        </w:tc>
        <w:tc>
          <w:tcPr>
            <w:tcW w:type="dxa" w:w="1234"/>
          </w:tcPr>
          <w:p>
            <w:r>
              <w:t>GARANT legal database (direct reviewable document page of the official decision)</w:t>
            </w:r>
          </w:p>
        </w:tc>
        <w:tc>
          <w:tcPr>
            <w:tcW w:type="dxa" w:w="1234"/>
          </w:tcPr>
          <w:p>
            <w:r>
              <w:t>EAEU/RU</w:t>
            </w:r>
          </w:p>
        </w:tc>
        <w:tc>
          <w:tcPr>
            <w:tcW w:type="dxa" w:w="1234"/>
          </w:tcPr>
          <w:p>
            <w:r>
              <w:t>https://base.garant.ru/483421115/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CROSS_CHECKED</w:t>
            </w:r>
          </w:p>
        </w:tc>
        <w:tc>
          <w:tcPr>
            <w:tcW w:type="dxa" w:w="1234"/>
          </w:tcPr>
          <w:p>
            <w:r>
              <w:t>Direct, article-by-article text of Decision 877 / TR CU 018 incl. OTTC form annexes and amendments</w:t>
            </w:r>
          </w:p>
        </w:tc>
      </w:tr>
      <w:tr>
        <w:tc>
          <w:tcPr>
            <w:tcW w:type="dxa" w:w="1234"/>
          </w:tcPr>
          <w:p>
            <w:r>
              <w:t>2026 automobile/motorcycle export-licence application notice (商办贸函〔2025〕408号)</w:t>
            </w:r>
          </w:p>
        </w:tc>
        <w:tc>
          <w:tcPr>
            <w:tcW w:type="dxa" w:w="1234"/>
          </w:tcPr>
          <w:p>
            <w:r>
              <w:t>MOFCOM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https://www.mofcom.gov.cn/zwgk/zcfb/art/2025/art_7c50d6688ca34d1786a1bfd2ccde7d19.html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2026 application system/process, local review, qualified list</w:t>
            </w:r>
          </w:p>
        </w:tc>
      </w:tr>
      <w:tr>
        <w:tc>
          <w:tcPr>
            <w:tcW w:type="dxa" w:w="1234"/>
          </w:tcPr>
          <w:p>
            <w:r>
              <w:t>Pure-EV passenger export licensing (Announcement No. 54, 2025; from 2026-01-01, HS 8703801090)</w:t>
            </w:r>
          </w:p>
        </w:tc>
        <w:tc>
          <w:tcPr>
            <w:tcW w:type="dxa" w:w="1234"/>
          </w:tcPr>
          <w:p>
            <w:r>
              <w:t>MOFCOM / MIIT / GAC / SAMR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https://wms.mofcom.gov.cn/zcfb/wmgl/art/2025/art_4fffefa930ec42c1875859eac89ff1e4.html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2026 EV export-licence regime and HS reference</w:t>
            </w:r>
          </w:p>
        </w:tc>
      </w:tr>
      <w:tr>
        <w:tc>
          <w:tcPr>
            <w:tcW w:type="dxa" w:w="1234"/>
          </w:tcPr>
          <w:p>
            <w:r>
              <w:t>2026 qualified export-licence enterprise list</w:t>
            </w:r>
          </w:p>
        </w:tc>
        <w:tc>
          <w:tcPr>
            <w:tcW w:type="dxa" w:w="1234"/>
          </w:tcPr>
          <w:p>
            <w:r>
              <w:t>MOFCOM Foreign Trade Dept (**government official**)</w:t>
            </w:r>
          </w:p>
        </w:tc>
        <w:tc>
          <w:tcPr>
            <w:tcW w:type="dxa" w:w="1234"/>
          </w:tcPr>
          <w:p>
            <w:r>
              <w:t>CN</w:t>
            </w:r>
          </w:p>
        </w:tc>
        <w:tc>
          <w:tcPr>
            <w:tcW w:type="dxa" w:w="1234"/>
          </w:tcPr>
          <w:p>
            <w:r>
              <w:t>http://wms.mofcom.gov.cn/zcfb/wmgl/art/2025/art_6685d244c4f4429e9a749a1a9f34bf19.html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**VERIFIED**</w:t>
            </w:r>
          </w:p>
        </w:tc>
        <w:tc>
          <w:tcPr>
            <w:tcW w:type="dxa" w:w="1234"/>
          </w:tcPr>
          <w:p>
            <w:r>
              <w:t>Current-year qualified-enterprise list</w:t>
            </w:r>
          </w:p>
        </w:tc>
      </w:tr>
      <w:tr>
        <w:tc>
          <w:tcPr>
            <w:tcW w:type="dxa" w:w="1234"/>
          </w:tcPr>
          <w:p>
            <w:r>
              <w:t>EV customs clearance / SBKTS / EPTS process (background)</w:t>
            </w:r>
          </w:p>
        </w:tc>
        <w:tc>
          <w:tcPr>
            <w:tcW w:type="dxa" w:w="1234"/>
          </w:tcPr>
          <w:p>
            <w:r>
              <w:t>Russian-language industry outlets (BATTKA, FindCert; media)</w:t>
            </w:r>
          </w:p>
        </w:tc>
        <w:tc>
          <w:tcPr>
            <w:tcW w:type="dxa" w:w="1234"/>
          </w:tcPr>
          <w:p>
            <w:r>
              <w:t>RU</w:t>
            </w:r>
          </w:p>
        </w:tc>
        <w:tc>
          <w:tcPr>
            <w:tcW w:type="dxa" w:w="1234"/>
          </w:tcPr>
          <w:p>
            <w:r>
              <w:t>https://findcert.ru/news/rastamozhka-elektromobilya-v-rossii/</w:t>
            </w:r>
          </w:p>
        </w:tc>
        <w:tc>
          <w:tcPr>
            <w:tcW w:type="dxa" w:w="1234"/>
          </w:tcPr>
          <w:p>
            <w:r>
              <w:t>2026-09-03</w:t>
            </w:r>
          </w:p>
        </w:tc>
        <w:tc>
          <w:tcPr>
            <w:tcW w:type="dxa" w:w="1234"/>
          </w:tcPr>
          <w:p>
            <w:r>
              <w:t>SINGLE_SOURCE</w:t>
            </w:r>
          </w:p>
        </w:tc>
        <w:tc>
          <w:tcPr>
            <w:tcW w:type="dxa" w:w="1234"/>
          </w:tcPr>
          <w:p>
            <w:r>
              <w:t>OTTC/SBKTS/EPTS process background; duty figures NOT adopted (conflict)</w:t>
            </w:r>
          </w:p>
        </w:tc>
      </w:tr>
    </w:tbl>
    <w:p>
      <w:r>
        <w:t>*Confidence note: the regulatory backbone (TR CU 018 / Decision 877) and the China 2026 export-licence rule are VERIFIED from regulator/government sources. Specific EV duty percentages, VAT/utilisation-fee numbers, personal-import ERA-GLONASS reinstatement dates and any no-transit rule were NOT supported by a captured FTS/EEC primary source, conflict across media, and are deliberately left as verification items rather than stated as fact.*</w:t>
      </w:r>
    </w:p>
    <w:p>
      <w:pPr>
        <w:pStyle w:val="Heading2"/>
      </w:pPr>
      <w:r>
        <w:t>Editorial Review</w:t>
      </w:r>
    </w:p>
    <w:p>
      <w:pPr>
        <w:pStyle w:val="ListBullet"/>
      </w:pPr>
      <w:r>
        <w:rPr>
          <w:b/>
        </w:rPr>
        <w:t>Author / reviewer</w:t>
      </w:r>
      <w:r>
        <w:t>: [AutoBridge Export Editorial Team](/authors/) · method per our [Editorial Policy](/editorial-policy/)</w:t>
      </w:r>
    </w:p>
    <w:p>
      <w:pPr>
        <w:pStyle w:val="ListBullet"/>
      </w:pPr>
      <w:r>
        <w:rPr>
          <w:b/>
        </w:rPr>
        <w:t>Last reviewed</w:t>
      </w:r>
      <w:r>
        <w:t>: 2026-09-05</w:t>
      </w:r>
    </w:p>
    <w:p>
      <w:pPr>
        <w:pStyle w:val="ListBullet"/>
      </w:pPr>
      <w:r>
        <w:rPr>
          <w:b/>
        </w:rPr>
        <w:t>Reference market</w:t>
      </w:r>
      <w:r>
        <w:t>: Russia / EAEU</w:t>
      </w:r>
    </w:p>
    <w:p>
      <w:pPr>
        <w:pStyle w:val="ListBullet"/>
      </w:pPr>
      <w:r>
        <w:rPr>
          <w:b/>
        </w:rPr>
        <w:t>Verification method</w:t>
      </w:r>
      <w:r>
        <w:t>: Regulator/government primary sources for settled rules; conflicting media figures withheld rather than asserted; every time-sensitive item routed to a named authority for live confirmation</w:t>
      </w:r>
    </w:p>
    <w:p>
      <w:pPr>
        <w:pStyle w:val="ListBullet"/>
      </w:pPr>
      <w:r>
        <w:rPr>
          <w:b/>
        </w:rPr>
        <w:t>Editorial standard</w:t>
      </w:r>
      <w:r>
        <w:t>: Researched and written from the sources listed above (desk research; no first-hand driving, teardown or import is claimed). Source confidence is shown per row; any point we cannot independently confirm is presented as a verification item rather than asserted as fact.</w:t>
      </w:r>
    </w:p>
    <w:p>
      <w:r>
        <w:t>#AutoBridge #ExportProcurement #RussiaImport #EAEUTypeApproval #EVCompliance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