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Booking an Electrified Vehicle for Ocean Export: the Dangerous-Goods Paperwork a Carrier Actually Checks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EV Export Booking Documents Under IMDG 42-24: UN3556 Paperwork &amp; Carrier Checks</w:t>
      </w:r>
    </w:p>
    <w:p>
      <w:pPr>
        <w:pStyle w:val="ListBullet"/>
      </w:pPr>
      <w:r>
        <w:rPr>
          <w:b/>
        </w:rPr>
        <w:t>Meta Description</w:t>
      </w:r>
      <w:r>
        <w:t>: How lithium-battery vehicles are classified for ocean freight under current IMDG Amendment 42-24 (UN3556/3557/3558; legacy UN3171 transition ended), the SP961/SP962 paths, UN38.3 and SDS paperwork, and carrier-specific booking conditions.</w:t>
      </w:r>
    </w:p>
    <w:p>
      <w:pPr>
        <w:pStyle w:val="ListBullet"/>
      </w:pPr>
      <w:r>
        <w:rPr>
          <w:b/>
        </w:rPr>
        <w:t>Suggested URL</w:t>
      </w:r>
      <w:r>
        <w:t>: /guides/ev-shipping-un3171-imdg-compliance/</w:t>
      </w:r>
    </w:p>
    <w:p>
      <w:pPr>
        <w:pStyle w:val="ListBullet"/>
      </w:pPr>
      <w:r>
        <w:rPr>
          <w:b/>
        </w:rPr>
        <w:t>H1</w:t>
      </w:r>
      <w:r>
        <w:t>: Shipping Electrified Vehicles by Sea: Current Dangerous-Goods Classification, the Booking Document Set and Red Lines</w:t>
      </w:r>
    </w:p>
    <w:p>
      <w:pPr>
        <w:pStyle w:val="ListBullet"/>
      </w:pPr>
      <w:r>
        <w:rPr>
          <w:b/>
        </w:rPr>
        <w:t>Primary Keyword</w:t>
      </w:r>
      <w:r>
        <w:t>: electric vehicle ocean shipping un3556 imdg 42-24 documents</w:t>
      </w:r>
    </w:p>
    <w:p>
      <w:pPr>
        <w:pStyle w:val="ListBullet"/>
      </w:pPr>
      <w:r>
        <w:rPr>
          <w:b/>
        </w:rPr>
        <w:t>Secondary Search Terms</w:t>
      </w:r>
      <w:r>
        <w:t>: UN3556 lithium ion battery vehicle, UN3557 lithium metal vehicle, UN3558 sodium ion vehicle, legacy UN3171 transition, SP961 SP962 vehicle, Class 9 label 9A, UN38.3 test summary, SDS electric car shipping, EV SOC requirement carrier</w:t>
      </w:r>
    </w:p>
    <w:p>
      <w:pPr>
        <w:pStyle w:val="ListBullet"/>
      </w:pPr>
      <w:r>
        <w:rPr>
          <w:b/>
        </w:rPr>
        <w:t>Internal Link Suggestions</w:t>
      </w:r>
      <w:r>
        <w:t>: /guides/ev-shipping-un3556-imdg-compliance/ ; /guides/china-vehicle-export-license-customs-documents/ ; /guides/container-vehicle-loading-lashing/ ; /guides/vehicle-pre-shipment-inspection-psi/ ; /vehicles/byd-dolphin/</w:t>
      </w:r>
    </w:p>
    <w:p>
      <w:pPr>
        <w:pStyle w:val="ListBullet"/>
      </w:pPr>
      <w:r>
        <w:rPr>
          <w:b/>
        </w:rPr>
        <w:t>Image Suggestions</w:t>
      </w:r>
      <w:r>
        <w:t>: UN number/class label diagram; SP961-vs-SP962 decision flow; booking document chain; Class 9 / label 9A placard</w:t>
      </w:r>
    </w:p>
    <w:p>
      <w:pPr>
        <w:pStyle w:val="ListBullet"/>
      </w:pPr>
      <w:r>
        <w:rPr>
          <w:b/>
        </w:rPr>
        <w:t>ALT Suggestions</w:t>
      </w:r>
      <w:r>
        <w:t>: "UN3556 IMDG 42-24 Class 9 electric vehicle shipping"; "EV shipping booking document chain"</w:t>
      </w:r>
    </w:p>
    <w:p>
      <w:pPr>
        <w:pStyle w:val="Heading2"/>
      </w:pPr>
      <w:r>
        <w:t>Start Here: a Whole EV Is Dangerous Goods, and the Entry Changed in 42-24</w:t>
      </w:r>
    </w:p>
    <w:p>
      <w:r>
        <w:t xml:space="preserve">An intact, factory-built electrified vehicle is still dangerous goods for sea transport. Under </w:t>
      </w:r>
      <w:r>
        <w:rPr>
          <w:b/>
        </w:rPr>
        <w:t>IMDG Code Amendment 42-24 (2024 Edition), mandatory from 1 January 2026</w:t>
      </w:r>
      <w:r>
        <w:t>, battery-powered vehicles are split into dedicated entries rather than falling under one blanket number:</w:t>
      </w:r>
    </w:p>
    <w:p>
      <w:pPr>
        <w:pStyle w:val="ListBullet"/>
      </w:pPr>
      <w:r>
        <w:rPr>
          <w:b/>
        </w:rPr>
        <w:t>UN3556 — Vehicle, lithium-ion-battery-powered</w:t>
      </w:r>
      <w:r>
        <w:t xml:space="preserve"> (the case for a BEV or a PHEV/EREV whose traction battery is lithium-ion);</w:t>
      </w:r>
    </w:p>
    <w:p>
      <w:pPr>
        <w:pStyle w:val="ListBullet"/>
      </w:pPr>
      <w:r>
        <w:rPr>
          <w:b/>
        </w:rPr>
        <w:t>UN3557 — Vehicle, lithium-metal-battery-powered</w:t>
      </w:r>
      <w:r>
        <w:t>;</w:t>
      </w:r>
    </w:p>
    <w:p>
      <w:pPr>
        <w:pStyle w:val="ListBullet"/>
      </w:pPr>
      <w:r>
        <w:rPr>
          <w:b/>
        </w:rPr>
        <w:t>UN3558 — Vehicle, sodium-ion-battery-powered</w:t>
      </w:r>
      <w:r>
        <w:t>.</w:t>
      </w:r>
    </w:p>
    <w:p>
      <w:r>
        <w:t xml:space="preserve">All sit in </w:t>
      </w:r>
      <w:r>
        <w:rPr>
          <w:b/>
        </w:rPr>
        <w:t>Class 9</w:t>
      </w:r>
      <w:r>
        <w:t xml:space="preserve">. The older blanket </w:t>
      </w:r>
      <w:r>
        <w:rPr>
          <w:b/>
        </w:rPr>
        <w:t>UN3171 ("battery-powered vehicle/equipment") sea transition ended on 31 December 2025</w:t>
      </w:r>
      <w:r>
        <w:t xml:space="preserve">; do not build a 2026 booking on UN3171 for a lithium-ion car. For the full classification matrix and the loose-battery entries (UN3480/UN3481), see the companion guide [Shipping an EV under IMDG 42-24: the classification matrix](/guides/ev-shipping-un3556-imdg-compliance/); this page focuses on </w:t>
      </w:r>
      <w:r>
        <w:rPr>
          <w:b/>
        </w:rPr>
        <w:t>what a forwarder/carrier needs at booking and what makes a file bookable</w:t>
      </w:r>
      <w:r>
        <w:t>.</w:t>
      </w:r>
    </w:p>
    <w:p>
      <w:pPr>
        <w:pStyle w:val="Heading2"/>
      </w:pPr>
      <w:r>
        <w:t>The Two Whole-Vehicle Paths: SP961 vs SP962</w:t>
      </w:r>
    </w:p>
    <w:p>
      <w:r>
        <w:t>The special provision drives both stowage and paperwork:</w:t>
      </w:r>
    </w:p>
    <w:p>
      <w:pPr>
        <w:pStyle w:val="ListBullet"/>
      </w:pPr>
      <w:r>
        <w:rPr>
          <w:b/>
        </w:rPr>
        <w:t>SP961</w:t>
      </w:r>
      <w:r>
        <w:t xml:space="preserve"> applies where the vehicle is </w:t>
      </w:r>
      <w:r>
        <w:rPr>
          <w:b/>
        </w:rPr>
        <w:t>loaded, stowed, handled and unloaded under its own power</w:t>
      </w:r>
      <w:r>
        <w:t xml:space="preserve"> (the self-driven RoRo-style path) and meets the stated conditions; it carries specific reliefs.</w:t>
      </w:r>
    </w:p>
    <w:p>
      <w:pPr>
        <w:pStyle w:val="ListBullet"/>
      </w:pPr>
      <w:r>
        <w:rPr>
          <w:b/>
        </w:rPr>
        <w:t>SP962</w:t>
      </w:r>
      <w:r>
        <w:t xml:space="preserve"> applies to the </w:t>
      </w:r>
      <w:r>
        <w:rPr>
          <w:b/>
        </w:rPr>
        <w:t>container / non-self-driven path</w:t>
      </w:r>
      <w:r>
        <w:t xml:space="preserve">, which is treated as full Class 9: a </w:t>
      </w:r>
      <w:r>
        <w:rPr>
          <w:b/>
        </w:rPr>
        <w:t>dangerous-goods declaration (DGD)</w:t>
      </w:r>
      <w:r>
        <w:t xml:space="preserve">, </w:t>
      </w:r>
      <w:r>
        <w:rPr>
          <w:b/>
        </w:rPr>
        <w:t>stowage category A</w:t>
      </w:r>
      <w:r>
        <w:t xml:space="preserve">, training requirements and the </w:t>
      </w:r>
      <w:r>
        <w:rPr>
          <w:b/>
        </w:rPr>
        <w:t>Class 9 / label 9A</w:t>
      </w:r>
      <w:r>
        <w:t xml:space="preserve"> marking route apply.</w:t>
      </w:r>
    </w:p>
    <w:p>
      <w:r>
        <w:t xml:space="preserve">Which path you are on is decided by </w:t>
      </w:r>
      <w:r>
        <w:rPr>
          <w:b/>
        </w:rPr>
        <w:t>how the unit actually moves</w:t>
      </w:r>
      <w:r>
        <w:t>, not by preference — a vehicle planned for container export cannot claim the self-driven relief.</w:t>
      </w:r>
    </w:p>
    <w:p>
      <w:pPr>
        <w:pStyle w:val="Heading2"/>
      </w:pPr>
      <w:r>
        <w:t>The Document Set a Booking Rests On</w:t>
      </w:r>
    </w:p>
    <w:p>
      <w:pPr>
        <w:pStyle w:val="ListNumber"/>
      </w:pPr>
      <w:r>
        <w:rPr>
          <w:b/>
        </w:rPr>
        <w:t>UN38.3 test summary / report</w:t>
      </w:r>
      <w:r>
        <w:t xml:space="preserve"> covering </w:t>
      </w:r>
      <w:r>
        <w:rPr>
          <w:b/>
        </w:rPr>
        <w:t>both the cells and the battery pack/module</w:t>
      </w:r>
      <w:r>
        <w:t xml:space="preserve"> — a cell-only report is insufficient for the pack; note the current revision your carrier accepts.</w:t>
      </w:r>
    </w:p>
    <w:p>
      <w:pPr>
        <w:pStyle w:val="ListNumber"/>
      </w:pPr>
      <w:r>
        <w:rPr>
          <w:b/>
        </w:rPr>
        <w:t>SDS/MSDS (GHS)</w:t>
      </w:r>
      <w:r>
        <w:t xml:space="preserve"> identifying the </w:t>
      </w:r>
      <w:r>
        <w:rPr>
          <w:b/>
        </w:rPr>
        <w:t>correct UN entry (UN3556 for a lithium-ion vehicle), Class 9 and the EmS schedule</w:t>
      </w:r>
      <w:r>
        <w:t xml:space="preserve"> — update any old document that still names only UN3171.</w:t>
      </w:r>
    </w:p>
    <w:p>
      <w:pPr>
        <w:pStyle w:val="ListNumber"/>
      </w:pPr>
      <w:r>
        <w:rPr>
          <w:b/>
        </w:rPr>
        <w:t>Dangerous-goods declaration and carrier booking forms</w:t>
      </w:r>
      <w:r>
        <w:t xml:space="preserve"> completed to the </w:t>
      </w:r>
      <w:r>
        <w:rPr>
          <w:b/>
        </w:rPr>
        <w:t>42-24</w:t>
      </w:r>
      <w:r>
        <w:t xml:space="preserve"> standard (required on the SP962 path).</w:t>
      </w:r>
    </w:p>
    <w:p>
      <w:pPr>
        <w:pStyle w:val="ListNumber"/>
      </w:pPr>
      <w:r>
        <w:rPr>
          <w:b/>
        </w:rPr>
        <w:t>Installed-battery vs loose/spare-battery decision.</w:t>
      </w:r>
      <w:r>
        <w:t xml:space="preserve"> Spare or loose lithium batteries move under </w:t>
      </w:r>
      <w:r>
        <w:rPr>
          <w:b/>
        </w:rPr>
        <w:t>UN3480/UN3481</w:t>
      </w:r>
      <w:r>
        <w:t>, not UN3556, and need their own packaging/document route (including a dangerous-goods packaging certificate where applicable). The whole-vehicle relief never covers spares packed alongside.</w:t>
      </w:r>
    </w:p>
    <w:p>
      <w:pPr>
        <w:pStyle w:val="ListNumber"/>
      </w:pPr>
      <w:r>
        <w:rPr>
          <w:b/>
        </w:rPr>
        <w:t>Damaged/defective or recalled units</w:t>
      </w:r>
      <w:r>
        <w:t xml:space="preserve"> are a separate case: they require </w:t>
      </w:r>
      <w:r>
        <w:rPr>
          <w:b/>
        </w:rPr>
        <w:t>explicit carrier approval</w:t>
      </w:r>
      <w:r>
        <w:t>, often cannot move on ordinary terms, and must never be relabelled as a normal UN3556 shipment.</w:t>
      </w:r>
    </w:p>
    <w:p>
      <w:pPr>
        <w:pStyle w:val="Heading2"/>
      </w:pPr>
      <w:r>
        <w:t>Version and Timeliness (state these on every file)</w:t>
      </w:r>
    </w:p>
    <w:p>
      <w:pPr>
        <w:pStyle w:val="ListBullet"/>
      </w:pPr>
      <w:r>
        <w:rPr>
          <w:b/>
        </w:rPr>
        <w:t>Current amendment:</w:t>
      </w:r>
      <w:r>
        <w:t xml:space="preserve"> IMDG </w:t>
      </w:r>
      <w:r>
        <w:rPr>
          <w:b/>
        </w:rPr>
        <w:t>42-24 (2024 Edition), mandatory from 2026-01-01</w:t>
      </w:r>
      <w:r>
        <w:t>; state the amendment on the booking instead of assuming a carrier's old template.</w:t>
      </w:r>
    </w:p>
    <w:p>
      <w:pPr>
        <w:pStyle w:val="ListBullet"/>
      </w:pPr>
      <w:r>
        <w:rPr>
          <w:b/>
        </w:rPr>
        <w:t>UN38.3 revision:</w:t>
      </w:r>
      <w:r>
        <w:t xml:space="preserve"> confirm the revision your line and destination accept (time-sensitive).</w:t>
      </w:r>
    </w:p>
    <w:p>
      <w:pPr>
        <w:pStyle w:val="ListBullet"/>
      </w:pPr>
      <w:r>
        <w:rPr>
          <w:b/>
        </w:rPr>
        <w:t>China-side lithium transport requirements:</w:t>
      </w:r>
      <w:r>
        <w:t xml:space="preserve"> confirm the current official text and how it applies to </w:t>
      </w:r>
      <w:r>
        <w:rPr>
          <w:b/>
        </w:rPr>
        <w:t>whole vehicles vs loose batteries</w:t>
      </w:r>
      <w:r>
        <w:t xml:space="preserve"> rather than quoting a 2025 compliance article as settled law.</w:t>
      </w:r>
    </w:p>
    <w:p>
      <w:pPr>
        <w:pStyle w:val="Heading2"/>
      </w:pPr>
      <w:r>
        <w:t>Carrier-Specific Layer (the Code is the floor, never the ceiling)</w:t>
      </w:r>
    </w:p>
    <w:p>
      <w:r>
        <w:t xml:space="preserve">Named carriers publish their own 42-24 advisories — for example </w:t>
      </w:r>
      <w:r>
        <w:rPr>
          <w:b/>
        </w:rPr>
        <w:t>Maersk's customer advisory on Amendment 42-24</w:t>
      </w:r>
      <w:r>
        <w:t xml:space="preserve"> confirms the 2026-01-01 applicability, the UN3556 entry and the SP962 placard/label change. On top of the Code, lines commonly set, per </w:t>
      </w:r>
      <w:r>
        <w:rPr>
          <w:b/>
        </w:rPr>
        <w:t>route and terminal</w:t>
      </w:r>
      <w:r>
        <w:t>:</w:t>
      </w:r>
    </w:p>
    <w:p>
      <w:pPr>
        <w:pStyle w:val="ListBullet"/>
      </w:pPr>
      <w:r>
        <w:t xml:space="preserve">a maximum </w:t>
      </w:r>
      <w:r>
        <w:rPr>
          <w:b/>
        </w:rPr>
        <w:t>state of charge (SOC)</w:t>
      </w:r>
      <w:r>
        <w:t xml:space="preserve"> and evidence of the 12 V/traction system state;</w:t>
      </w:r>
    </w:p>
    <w:p>
      <w:pPr>
        <w:pStyle w:val="ListBullet"/>
      </w:pPr>
      <w:r>
        <w:t xml:space="preserve">whether the unit moves </w:t>
      </w:r>
      <w:r>
        <w:rPr>
          <w:b/>
        </w:rPr>
        <w:t>RoRo (self-driven) or only in a container</w:t>
      </w:r>
      <w:r>
        <w:t xml:space="preserve">, and </w:t>
      </w:r>
      <w:r>
        <w:rPr>
          <w:b/>
        </w:rPr>
        <w:t>terminal acceptance conditions</w:t>
      </w:r>
      <w:r>
        <w:t>;</w:t>
      </w:r>
    </w:p>
    <w:p>
      <w:pPr>
        <w:pStyle w:val="ListBullet"/>
      </w:pPr>
      <w:r>
        <w:t xml:space="preserve">firewatch/stowage and disconnect instructions, and </w:t>
      </w:r>
      <w:r>
        <w:rPr>
          <w:b/>
        </w:rPr>
        <w:t>damaged/recalled-battery bans</w:t>
      </w:r>
      <w:r>
        <w:t>.</w:t>
      </w:r>
    </w:p>
    <w:p>
      <w:r>
        <w:t xml:space="preserve">These are </w:t>
      </w:r>
      <w:r>
        <w:rPr>
          <w:b/>
        </w:rPr>
        <w:t>carrier- and route-specific and time-sensitive</w:t>
      </w:r>
      <w:r>
        <w:t xml:space="preserve"> — obtain the named carrier's current dangerous-goods acceptance in writing for the exact port pair before promising a sailing; do not generalise one line's terms to another.</w:t>
      </w:r>
    </w:p>
    <w:p>
      <w:pPr>
        <w:pStyle w:val="Heading2"/>
      </w:pPr>
      <w:r>
        <w:t>What This Guide Recommends You Prepare Before Booking</w:t>
      </w:r>
    </w:p>
    <w:p>
      <w:pPr>
        <w:pStyle w:val="ListBullet"/>
      </w:pPr>
      <w:r>
        <w:t xml:space="preserve">Cell </w:t>
      </w:r>
      <w:r>
        <w:rPr>
          <w:b/>
        </w:rPr>
        <w:t>and</w:t>
      </w:r>
      <w:r>
        <w:t xml:space="preserve"> pack UN38.3 (accepted revision) plus an SDS naming </w:t>
      </w:r>
      <w:r>
        <w:rPr>
          <w:b/>
        </w:rPr>
        <w:t>UN3556 / Class 9 / EmS</w:t>
      </w:r>
      <w:r>
        <w:t>, with any legacy UN3171 paperwork refreshed.</w:t>
      </w:r>
    </w:p>
    <w:p>
      <w:pPr>
        <w:pStyle w:val="ListBullet"/>
      </w:pPr>
      <w:r>
        <w:t xml:space="preserve">A written </w:t>
      </w:r>
      <w:r>
        <w:rPr>
          <w:b/>
        </w:rPr>
        <w:t>SP961 (self-driven) vs SP962 (container)</w:t>
      </w:r>
      <w:r>
        <w:t xml:space="preserve"> decision matched to the actual move; DGD and label 9A ready for SP962.</w:t>
      </w:r>
    </w:p>
    <w:p>
      <w:pPr>
        <w:pStyle w:val="ListBullet"/>
      </w:pPr>
      <w:r>
        <w:t xml:space="preserve">A clear </w:t>
      </w:r>
      <w:r>
        <w:rPr>
          <w:b/>
        </w:rPr>
        <w:t>installed vs loose battery</w:t>
      </w:r>
      <w:r>
        <w:t xml:space="preserve"> split, with the separate UN3480/UN3481 route for spares.</w:t>
      </w:r>
    </w:p>
    <w:p>
      <w:pPr>
        <w:pStyle w:val="ListBullet"/>
      </w:pPr>
      <w:r>
        <w:t xml:space="preserve">The </w:t>
      </w:r>
      <w:r>
        <w:rPr>
          <w:b/>
        </w:rPr>
        <w:t>named carrier's current SOC/stowage/route/terminal conditions</w:t>
      </w:r>
      <w:r>
        <w:t xml:space="preserve"> for the specific port pair, approved before delivery.</w:t>
      </w:r>
    </w:p>
    <w:p>
      <w:pPr>
        <w:pStyle w:val="ListBullet"/>
      </w:pPr>
      <w:r>
        <w:t xml:space="preserve">A </w:t>
      </w:r>
      <w:r>
        <w:rPr>
          <w:b/>
        </w:rPr>
        <w:t>damage/defect screen</w:t>
      </w:r>
      <w:r>
        <w:t xml:space="preserve"> (no warning lights, no impact/flood/recall history) fed into the PSI — see the pre-shipment inspection guide.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UN number is a lithium-ion electric car shipped under now?</w:t>
      </w:r>
      <w:r>
        <w:t xml:space="preserve"> Under IMDG 42-24 (mandatory 2026-01-01) it is </w:t>
      </w:r>
      <w:r>
        <w:rPr>
          <w:b/>
        </w:rPr>
        <w:t>UN3556</w:t>
      </w:r>
      <w:r>
        <w:t xml:space="preserve"> (lith-ion-battery-powered vehicle), Class 9; UN3557 is lithium-metal and UN3558 sodium-ion. The old blanket UN3171 sea transition ended 31 December 2025.</w:t>
      </w:r>
    </w:p>
    <w:p>
      <w:r>
        <w:rPr>
          <w:b/>
        </w:rPr>
        <w:t>What is the difference between SP961 and SP962?</w:t>
      </w:r>
      <w:r>
        <w:t xml:space="preserve"> SP961 covers the self-driven/own-power handling path with specific reliefs; SP962 covers the container/non-self-driven path as full Class 9 (DGD, stowage A, label 9A and training). The actual move decides which applies.</w:t>
      </w:r>
    </w:p>
    <w:p>
      <w:r>
        <w:rPr>
          <w:b/>
        </w:rPr>
        <w:t>Does an EV need dangerous-goods packaging?</w:t>
      </w:r>
      <w:r>
        <w:t xml:space="preserve"> A complete, intact vehicle is not crated like loose cells, but only on the applicable special-provision path; loose/spare batteries follow UN3480/UN3481 with their own packaging and documents.</w:t>
      </w:r>
    </w:p>
    <w:p>
      <w:r>
        <w:rPr>
          <w:b/>
        </w:rPr>
        <w:t>Is a cell-level UN38.3 report enough?</w:t>
      </w:r>
      <w:r>
        <w:t xml:space="preserve"> No — both the cells and the pack/module must be covered.</w:t>
      </w:r>
    </w:p>
    <w:p>
      <w:r>
        <w:rPr>
          <w:b/>
        </w:rPr>
        <w:t>Can a damaged or recalled EV ship normally?</w:t>
      </w:r>
      <w:r>
        <w:t xml:space="preserve"> No — damaged/defective/recalled units need explicit carrier approval and are often refused; never disguise one as a standard UN3556 shipment.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Shipping an electric vehicle by sea (IMDG),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Shipping an electric vehicle by sea (IMDG),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Shipping an electric vehicle by sea (IMDG),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Shipping an electric vehicle by sea (IMDG),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Shipping an electric vehicle by sea (IMDG),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輸出バイヤー向けリファレンス｜Shipping an electric vehicle by sea (IMDG),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자료｜Shipping an electric vehicle by sea (IMDG),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Shipping an electric vehicle by sea (IMDG),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Shipping an electric vehicle by sea (IMDG),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Shipping an electric vehicle by sea (IMDG),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Shipping an electric vehicle by sea (IMDG),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出口采购参考｜Shipping an electric vehicle by sea (IMDG),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IMDG Code (2024 Edition incl. Amendment 42-24), official publication page</w:t>
            </w:r>
          </w:p>
        </w:tc>
        <w:tc>
          <w:tcPr>
            <w:tcW w:type="dxa" w:w="1234"/>
          </w:tcPr>
          <w:p>
            <w:r>
              <w:t>International Maritime Organization (IMO)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https://www.imo.org/en/publications/pages/imdg%20code.aspx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Current edition/amendment and mandatory-from date; Class 9 framework</w:t>
            </w:r>
          </w:p>
        </w:tc>
      </w:tr>
      <w:tr>
        <w:tc>
          <w:tcPr>
            <w:tcW w:type="dxa" w:w="1234"/>
          </w:tcPr>
          <w:p>
            <w:r>
              <w:t>Customer Advisory — Regulatory Changes, IMDG Code Amendment 42-24</w:t>
            </w:r>
          </w:p>
        </w:tc>
        <w:tc>
          <w:tcPr>
            <w:tcW w:type="dxa" w:w="1234"/>
          </w:tcPr>
          <w:p>
            <w:r>
              <w:t>Maersk (named ocean carrier)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https://www.maersk.com.cn/~/media_sc9/maersk/local-information/files/asia-pacific/japan/export/advisory---others-and-document/maersk-customer-advisory-regulatory-changes-imdg-code-amendment-42-24-japanese.pdf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Carrier-specific: applicability from 2026-01-01; UN3556 entry; SP962 placard/label change</w:t>
            </w:r>
          </w:p>
        </w:tc>
      </w:tr>
      <w:tr>
        <w:tc>
          <w:tcPr>
            <w:tcW w:type="dxa" w:w="1234"/>
          </w:tcPr>
          <w:p>
            <w:r>
              <w:t>Guidance — UN3556 (ADR/RID 2025, IMDG Amdt 42-24): classification, SP388/666/961/962, UN38.3</w:t>
            </w:r>
          </w:p>
        </w:tc>
        <w:tc>
          <w:tcPr>
            <w:tcW w:type="dxa" w:w="1234"/>
          </w:tcPr>
          <w:p>
            <w:r>
              <w:t>SäkerhetsRådgivarna (DG safety adviser)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https://sakerhetsradgivarna.se/farligt-gods/guide/un-3556-adr-rid-imdg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UN3556 Class 9/label 9A; UN3171 sea transition to 2025-12-31; SP961 self-driven vs SP962 container paths</w:t>
            </w:r>
          </w:p>
        </w:tc>
      </w:tr>
      <w:tr>
        <w:tc>
          <w:tcPr>
            <w:tcW w:type="dxa" w:w="1234"/>
          </w:tcPr>
          <w:p>
            <w:r>
              <w:t>Shipping Vehicles Under IMDG Amendment 42-24 (ebook): UN3556/3557/3558 vs legacy UN3171</w:t>
            </w:r>
          </w:p>
        </w:tc>
        <w:tc>
          <w:tcPr>
            <w:tcW w:type="dxa" w:w="1234"/>
          </w:tcPr>
          <w:p>
            <w:r>
              <w:t>IMDG Code Compliance Centre / Shashi Kallada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https://shashikallada.com/wp-content/uploads/2026/07/Ebook-Shipping-Vehicles-Under-IMDG-Code-Amendment-42-24.pdf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UN3557 lithium-metal and UN3558 sodium-ion entries; distinction from UN3171</w:t>
            </w:r>
          </w:p>
        </w:tc>
      </w:tr>
      <w:tr>
        <w:tc>
          <w:tcPr>
            <w:tcW w:type="dxa" w:w="1234"/>
          </w:tcPr>
          <w:p>
            <w:r>
              <w:t>Dangerous Goods on China–UAE Routes 2026: IMDG booking checklist</w:t>
            </w:r>
          </w:p>
        </w:tc>
        <w:tc>
          <w:tcPr>
            <w:tcW w:type="dxa" w:w="1234"/>
          </w:tcPr>
          <w:p>
            <w:r>
              <w:t>Shenzhen Top Way International Forwarding</w:t>
            </w:r>
          </w:p>
        </w:tc>
        <w:tc>
          <w:tcPr>
            <w:tcW w:type="dxa" w:w="1234"/>
          </w:tcPr>
          <w:p>
            <w:r>
              <w:t>CN–UAE route</w:t>
            </w:r>
          </w:p>
        </w:tc>
        <w:tc>
          <w:tcPr>
            <w:tcW w:type="dxa" w:w="1234"/>
          </w:tcPr>
          <w:p>
            <w:r>
              <w:t>https://www.topwayshipping.com/dangerous-goods-on-china-uae-routes-2026-imdg-compliance-checklist-before-you-load/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Route/carrier booking-stage application; carrier-specific SOC/documentation (illustrative, not universal)</w:t>
            </w:r>
          </w:p>
        </w:tc>
      </w:tr>
      <w:tr>
        <w:tc>
          <w:tcPr>
            <w:tcW w:type="dxa" w:w="1234"/>
          </w:tcPr>
          <w:p>
            <w:r>
              <w:t>Lithium-battery export documents (UN38.3/SDS/packaging cert)</w:t>
            </w:r>
          </w:p>
        </w:tc>
        <w:tc>
          <w:tcPr>
            <w:tcW w:type="dxa" w:w="1234"/>
          </w:tcPr>
          <w:p>
            <w:r>
              <w:t>Dingzhou News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https://www.dzxww.cn/article/293251787800392.shtml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UN38.3 cell+pack, SDS, loose-battery certificate context</w:t>
            </w:r>
          </w:p>
        </w:tc>
      </w:tr>
      <w:tr>
        <w:tc>
          <w:tcPr>
            <w:tcW w:type="dxa" w:w="1234"/>
          </w:tcPr>
          <w:p>
            <w:r>
              <w:t>New-energy export customs risk (China 2025 lithium rule)</w:t>
            </w:r>
          </w:p>
        </w:tc>
        <w:tc>
          <w:tcPr>
            <w:tcW w:type="dxa" w:w="1234"/>
          </w:tcPr>
          <w:p>
            <w:r>
              <w:t>Sohu compliance analysis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https://m.sohu.com/a/1025837015_100159475/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China-side lithium transport requirement (single-source; confirm official text)</w:t>
            </w:r>
          </w:p>
        </w:tc>
      </w:tr>
    </w:tbl>
    <w:p>
      <w:r>
        <w:t>*Scope note: the current amendment, UN3556/3557/3558 split and SP961/SP962 structure are anchored to the IMO publication and 42-24 carrier/DG-adviser material; carrier SOC levels, terminal acceptance and China-side rule application are carrier-/route-specific and time-sensitive — confirm the named carrier's current terms and the official text for every booking.*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Global ocean dangerous-goods compliance, current IMDG 42-24; China-side rule flagged separately; carrier terms named and route-scoped</w:t>
      </w:r>
    </w:p>
    <w:p>
      <w:pPr>
        <w:pStyle w:val="ListBullet"/>
      </w:pPr>
      <w:r>
        <w:rPr>
          <w:b/>
        </w:rPr>
        <w:t>Verification method</w:t>
      </w:r>
      <w:r>
        <w:t>: Primary IMO publication + named-carrier advisory + DG-specialist cross-check; time-sensitive and carrier-specific items isolated; companion classification guide cross-linked to avoid cannibalisation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r>
        <w:t>#AutoBridge #EVShipping #IMDG4224 #UN3556 #ExportCompliance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