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CKD/SKD Knockdown Export and Overseas Assembly — Model, Classification and Compliance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CKD/SKD Knockdown Kit Export and Overseas Assembly: Classification and Compliance</w:t>
      </w:r>
    </w:p>
    <w:p>
      <w:pPr>
        <w:pStyle w:val="ListBullet"/>
      </w:pPr>
      <w:r>
        <w:rPr>
          <w:b/>
        </w:rPr>
        <w:t>Meta Description</w:t>
      </w:r>
      <w:r>
        <w:t>: How CKD/SKD vehicle kit export works: classification built on the Harmonized System, why destination tariff/local-assembly treatment is country-specific, and what a Chinese exporter must verify before shipping kits.</w:t>
      </w:r>
    </w:p>
    <w:p>
      <w:pPr>
        <w:pStyle w:val="ListBullet"/>
      </w:pPr>
      <w:r>
        <w:rPr>
          <w:b/>
        </w:rPr>
        <w:t>H1</w:t>
      </w:r>
      <w:r>
        <w:t>: CKD/SKD Knockdown Export and Overseas Assembly — Model, Classification and Compliance</w:t>
      </w:r>
    </w:p>
    <w:p>
      <w:pPr>
        <w:pStyle w:val="ListBullet"/>
      </w:pPr>
      <w:r>
        <w:rPr>
          <w:b/>
        </w:rPr>
        <w:t>Primary Keyword</w:t>
      </w:r>
      <w:r>
        <w:t>: ckd skd knockdown kit export assembly</w:t>
      </w:r>
    </w:p>
    <w:p>
      <w:pPr>
        <w:pStyle w:val="ListBullet"/>
      </w:pPr>
      <w:r>
        <w:rPr>
          <w:b/>
        </w:rPr>
        <w:t>Secondary Search Terms</w:t>
      </w:r>
      <w:r>
        <w:t>: CKD SKD export; knockdown kit; overseas assembly; GRI 2(a) unassembled; local assembly tariff</w:t>
      </w:r>
    </w:p>
    <w:p>
      <w:pPr>
        <w:pStyle w:val="ListBullet"/>
      </w:pPr>
      <w:r>
        <w:rPr>
          <w:b/>
        </w:rPr>
        <w:t>Suggested URL</w:t>
      </w:r>
      <w:r>
        <w:t>: /guides/ckd-skd-knockdown-kit-export-assembly/</w:t>
      </w:r>
    </w:p>
    <w:p>
      <w:pPr>
        <w:pStyle w:val="ListBullet"/>
      </w:pPr>
      <w:r>
        <w:rPr>
          <w:b/>
        </w:rPr>
        <w:t>Search Intent</w:t>
      </w:r>
      <w:r>
        <w:t>: 区分CBU/CKD/SKD模式，理解散件出口归类、原产地与目的国组装的关键合规问题</w:t>
      </w:r>
    </w:p>
    <w:p>
      <w:pPr>
        <w:pStyle w:val="ListBullet"/>
      </w:pPr>
      <w:r>
        <w:rPr>
          <w:b/>
        </w:rPr>
        <w:t>Internal Link Suggestions</w:t>
      </w:r>
      <w:r>
        <w:t>: /guides/vehicle-export-hs-code-history/, /guides/certificate-of-origin-history/, /guides/export-document-package-history/</w:t>
      </w:r>
    </w:p>
    <w:p>
      <w:pPr>
        <w:pStyle w:val="ListBullet"/>
      </w:pPr>
      <w:r>
        <w:rPr>
          <w:b/>
        </w:rPr>
        <w:t>Schema Scope</w:t>
      </w:r>
      <w:r>
        <w:t>: Article (no Product/Offer/Review)</w:t>
      </w:r>
    </w:p>
    <w:p/>
    <w:p>
      <w:pPr>
        <w:pStyle w:val="Heading2"/>
      </w:pPr>
      <w:r>
        <w:t>What CKD and SKD mean in a sourcing decision</w:t>
      </w:r>
    </w:p>
    <w:p>
      <w:r>
        <w:t xml:space="preserve">A </w:t>
      </w:r>
      <w:r>
        <w:rPr>
          <w:b/>
        </w:rPr>
        <w:t>SKD (semi-knocked-down)</w:t>
      </w:r>
      <w:r>
        <w:t xml:space="preserve"> kit ships partly assembled modules; a </w:t>
      </w:r>
      <w:r>
        <w:rPr>
          <w:b/>
        </w:rPr>
        <w:t>CKD (completely-knocked-down)</w:t>
      </w:r>
      <w:r>
        <w:t xml:space="preserve"> kit ships a fuller set of components for local assembly. Both replace a finished-vehicle export with a parts-and-assembly model, usually to meet destination local-assembly policy. The commercial appeal is real, but the legal/tariff outcome is decided by the </w:t>
      </w:r>
      <w:r>
        <w:rPr>
          <w:b/>
        </w:rPr>
        <w:t>destination customs authority</w:t>
      </w:r>
      <w:r>
        <w:t>, not by the Chinese exporter labelling a consignment "CKD".</w:t>
      </w:r>
    </w:p>
    <w:p/>
    <w:p>
      <w:pPr>
        <w:pStyle w:val="Heading2"/>
      </w:pPr>
      <w:r>
        <w:t>The classification basis the exporter can control</w:t>
      </w:r>
    </w:p>
    <w:p>
      <w:r>
        <w:t xml:space="preserve">On the China export side, classification is built on the </w:t>
      </w:r>
      <w:r>
        <w:rPr>
          <w:b/>
        </w:rPr>
        <w:t>Harmonized System / import-export tariff</w:t>
      </w:r>
      <w:r>
        <w:t xml:space="preserve"> and the customs classification-decision mechanism (WCO maintains the HS, linked below). Whether an unassembled/disassembled set is classified as the article it will become turns on the general rules of interpretation and the specific tariff lines and rulings — </w:t>
      </w:r>
      <w:r>
        <w:rPr>
          <w:b/>
        </w:rPr>
        <w:t>this guide does not state GRI 2(a) as a settled legal conclusion for kits because a primary WCO/customs ruling for the exact kit is not captured here</w:t>
      </w:r>
      <w:r>
        <w:t>. Classify each kit line by line and, where material, seek a binding classification ruling.</w:t>
      </w:r>
    </w:p>
    <w:p/>
    <w:p>
      <w:pPr>
        <w:pStyle w:val="Heading2"/>
      </w:pPr>
      <w:r>
        <w:t>The destination side is the controlling, country-specific question</w:t>
      </w:r>
    </w:p>
    <w:p>
      <w:r>
        <w:t xml:space="preserve">Whether a kit qualifies for lower "local assembly" tariff treatment, a required local-content ratio, or an investment incentive is decided by the </w:t>
      </w:r>
      <w:r>
        <w:rPr>
          <w:b/>
        </w:rPr>
        <w:t>destination country's customs, tax and investment authorities</w:t>
      </w:r>
      <w:r>
        <w:t>. China export-side rules and commercial web pages cannot establish that outcome. A different destination can reach a different result for an identical kit, and treating unassembled parts as a whole vehicle for duty (or vice versa) must be evidenced by that country's authority.</w:t>
      </w:r>
    </w:p>
    <w:p/>
    <w:p>
      <w:pPr>
        <w:pStyle w:val="Heading2"/>
      </w:pPr>
      <w:r>
        <w:t>What to assemble before quoting a kit programme</w:t>
      </w:r>
    </w:p>
    <w:p>
      <w:pPr>
        <w:pStyle w:val="ListNumber"/>
      </w:pPr>
      <w:r>
        <w:rPr>
          <w:b/>
        </w:rPr>
        <w:t>Bill of materials by HS line</w:t>
      </w:r>
      <w:r>
        <w:t xml:space="preserve"> — list every module/component with its own HS code, origin and value.</w:t>
      </w:r>
    </w:p>
    <w:p>
      <w:pPr>
        <w:pStyle w:val="ListNumber"/>
      </w:pPr>
      <w:r>
        <w:rPr>
          <w:b/>
        </w:rPr>
        <w:t>Chinese export classification</w:t>
      </w:r>
      <w:r>
        <w:t xml:space="preserve"> — apply the HS/tariff and obtain a ruling where ambiguity is material.</w:t>
      </w:r>
    </w:p>
    <w:p>
      <w:pPr>
        <w:pStyle w:val="ListNumber"/>
      </w:pPr>
      <w:r>
        <w:rPr>
          <w:b/>
        </w:rPr>
        <w:t>Destination ruling</w:t>
      </w:r>
      <w:r>
        <w:t xml:space="preserve"> — obtain the destination customs/tax position on kit classification, duty, local-content and assembly conditions before committing investment.</w:t>
      </w:r>
    </w:p>
    <w:p>
      <w:pPr>
        <w:pStyle w:val="ListNumber"/>
      </w:pPr>
      <w:r>
        <w:rPr>
          <w:b/>
        </w:rPr>
        <w:t>Origin documentation</w:t>
      </w:r>
      <w:r>
        <w:t xml:space="preserve"> — determine whether the assembled vehicle qualifies for preferential origin (see the certificate-of-origin guide).</w:t>
      </w:r>
    </w:p>
    <w:p>
      <w:pPr>
        <w:pStyle w:val="ListNumber"/>
      </w:pPr>
      <w:r>
        <w:rPr>
          <w:b/>
        </w:rPr>
        <w:t>Contract split</w:t>
      </w:r>
      <w:r>
        <w:t xml:space="preserve"> — separate goods supply, assembly technology/tooling and after-sales so scope and payment are clear.</w:t>
      </w:r>
    </w:p>
    <w:p/>
    <w:p>
      <w:pPr>
        <w:pStyle w:val="Heading2"/>
      </w:pPr>
      <w:r>
        <w:t>Evidence ceiling (read before promising tariff savings)</w:t>
      </w:r>
    </w:p>
    <w:p>
      <w:r>
        <w:t xml:space="preserve">This page intentionally does </w:t>
      </w:r>
      <w:r>
        <w:rPr>
          <w:b/>
        </w:rPr>
        <w:t>not</w:t>
      </w:r>
      <w:r>
        <w:t xml:space="preserve"> claim a universal CKD/SKD definition, a fixed duty advantage, or a local-content threshold. Those are blocked pending primary WCO/destination-authority evidence; without it, present them as items to confirm, not facts.</w:t>
      </w:r>
    </w:p>
    <w:p/>
    <w:p>
      <w:pPr>
        <w:pStyle w:val="Heading2"/>
      </w:pPr>
      <w:r>
        <w:t>FAQ</w:t>
      </w:r>
    </w:p>
    <w:p>
      <w:r>
        <w:rPr>
          <w:b/>
        </w:rPr>
        <w:t>Does labelling a shipment "CKD" lower duty automatically?</w:t>
      </w:r>
      <w:r>
        <w:t xml:space="preserve"> No — destination customs decides classification and treatment.</w:t>
      </w:r>
    </w:p>
    <w:p>
      <w:r>
        <w:rPr>
          <w:b/>
        </w:rPr>
        <w:t>Is GRI 2(a) a guaranteed basis for kit classification?</w:t>
      </w:r>
      <w:r>
        <w:t xml:space="preserve"> It must be assessed against the exact goods with a primary ruling; it is not asserted as settled here.</w:t>
      </w:r>
    </w:p>
    <w:p>
      <w:r>
        <w:rPr>
          <w:b/>
        </w:rPr>
        <w:t>Who sets local-content rules?</w:t>
      </w:r>
      <w:r>
        <w:t xml:space="preserve"> The destination country's authorities; they vary by market.</w:t>
      </w:r>
    </w:p>
    <w:p>
      <w:r>
        <w:rPr>
          <w:b/>
        </w:rPr>
        <w:t>Can one kit design work in every market?</w:t>
      </w:r>
      <w:r>
        <w:t xml:space="preserve"> No — classification and assembly conditions are country-specific.</w:t>
      </w:r>
    </w:p>
    <w:p>
      <w:r>
        <w:rPr>
          <w:b/>
        </w:rPr>
        <w:t>What should the BOM do?</w:t>
      </w:r>
      <w:r>
        <w:t xml:space="preserve"> Assign an HS line, origin and value to every component before classification.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中华人民共和国海关进出口货物商品归类管理规定</w:t>
            </w:r>
          </w:p>
        </w:tc>
        <w:tc>
          <w:tcPr>
            <w:tcW w:type="dxa" w:w="1234"/>
          </w:tcPr>
          <w:p>
            <w:r>
              <w:t>中国政府网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https://www.gov.cn/zhengce/2021-09/06/content_5723370.htm</w:t>
            </w:r>
          </w:p>
        </w:tc>
        <w:tc>
          <w:tcPr>
            <w:tcW w:type="dxa" w:w="1234"/>
          </w:tcPr>
          <w:p>
            <w:r>
              <w:t>归类以协调制度/进出口税则为基础, 归类裁定与决定</w:t>
            </w:r>
          </w:p>
        </w:tc>
      </w:tr>
      <w:tr>
        <w:tc>
          <w:tcPr>
            <w:tcW w:type="dxa" w:w="1234"/>
          </w:tcPr>
          <w:p>
            <w:r>
              <w:t>汽车CKD散件出口原产地证填制（行业流程，T4仅线索）</w:t>
            </w:r>
          </w:p>
        </w:tc>
        <w:tc>
          <w:tcPr>
            <w:tcW w:type="dxa" w:w="1234"/>
          </w:tcPr>
          <w:p>
            <w:r>
              <w:t>顺企网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T4</w:t>
            </w:r>
          </w:p>
        </w:tc>
        <w:tc>
          <w:tcPr>
            <w:tcW w:type="dxa" w:w="1234"/>
          </w:tcPr>
          <w:p>
            <w:r>
              <w:t>UNVERIFIED</w:t>
            </w:r>
          </w:p>
        </w:tc>
        <w:tc>
          <w:tcPr>
            <w:tcW w:type="dxa" w:w="1234"/>
          </w:tcPr>
          <w:p>
            <w:r>
              <w:t>https://m.11467.com/product/d53830031.htm</w:t>
            </w:r>
          </w:p>
        </w:tc>
        <w:tc>
          <w:tcPr>
            <w:tcW w:type="dxa" w:w="1234"/>
          </w:tcPr>
          <w:p>
            <w:r>
              <w:t>成套散件清单/HS逐项整理流程线索</w:t>
            </w:r>
          </w:p>
        </w:tc>
      </w:tr>
      <w:tr>
        <w:tc>
          <w:tcPr>
            <w:tcW w:type="dxa" w:w="1234"/>
          </w:tcPr>
          <w:p>
            <w:r>
              <w:t>成套散件(SKD/CKD)进口申请表说明（反向参考，T4）</w:t>
            </w:r>
          </w:p>
        </w:tc>
        <w:tc>
          <w:tcPr>
            <w:tcW w:type="dxa" w:w="1234"/>
          </w:tcPr>
          <w:p>
            <w:r>
              <w:t>顺企网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T4</w:t>
            </w:r>
          </w:p>
        </w:tc>
        <w:tc>
          <w:tcPr>
            <w:tcW w:type="dxa" w:w="1234"/>
          </w:tcPr>
          <w:p>
            <w:r>
              <w:t>UNVERIFIED</w:t>
            </w:r>
          </w:p>
        </w:tc>
        <w:tc>
          <w:tcPr>
            <w:tcW w:type="dxa" w:w="1234"/>
          </w:tcPr>
          <w:p>
            <w:r>
              <w:t>https://m.11467.com/product/d14729353.htm</w:t>
            </w:r>
          </w:p>
        </w:tc>
        <w:tc>
          <w:tcPr>
            <w:tcW w:type="dxa" w:w="1234"/>
          </w:tcPr>
          <w:p>
            <w:r>
              <w:t>成套散件申报要素线索</w:t>
            </w:r>
          </w:p>
        </w:tc>
      </w:tr>
      <w:tr>
        <w:tc>
          <w:tcPr>
            <w:tcW w:type="dxa" w:w="1234"/>
          </w:tcPr>
          <w:p>
            <w:r>
              <w:t>Harmonized System Nomenclature (WCO)</w:t>
            </w:r>
          </w:p>
        </w:tc>
        <w:tc>
          <w:tcPr>
            <w:tcW w:type="dxa" w:w="1234"/>
          </w:tcPr>
          <w:p>
            <w:r>
              <w:t>World Customs Organization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https://www.wcoomd.org/en/topics/nomenclature/instrument-and-tools/hs-nomenclature-2022-edition.aspx</w:t>
            </w:r>
          </w:p>
        </w:tc>
        <w:tc>
          <w:tcPr>
            <w:tcW w:type="dxa" w:w="1234"/>
          </w:tcPr>
          <w:p>
            <w:r>
              <w:t>HS nomenclature is the classification basis maintained by WCO</w:t>
            </w:r>
          </w:p>
        </w:tc>
      </w:tr>
      <w:tr>
        <w:tc>
          <w:tcPr>
            <w:tcW w:type="dxa" w:w="1234"/>
          </w:tcPr>
          <w:p>
            <w:r>
              <w:t>WCO Origin instruments and tools</w:t>
            </w:r>
          </w:p>
        </w:tc>
        <w:tc>
          <w:tcPr>
            <w:tcW w:type="dxa" w:w="1234"/>
          </w:tcPr>
          <w:p>
            <w:r>
              <w:t>World Customs Organization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https://www.wcoomd.org/en/topics/origin/instrument-and-tools.aspx</w:t>
            </w:r>
          </w:p>
        </w:tc>
        <w:tc>
          <w:tcPr>
            <w:tcW w:type="dxa" w:w="1234"/>
          </w:tcPr>
          <w:p>
            <w:r>
              <w:t>rules-of-origin framework and instruments maintained by WCO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CN出口侧框架+目的国（目的国税率须另核）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2026-09-05</w:t>
      </w:r>
    </w:p>
    <w:p>
      <w:pPr>
        <w:pStyle w:val="ListBullet"/>
      </w:pPr>
      <w:r>
        <w:rPr>
          <w:b/>
        </w:rPr>
        <w:t>MODEL_TOPIC_MATCH</w:t>
      </w:r>
      <w:r>
        <w:t>: exact CKD/SKD Knockdown Export and Overseas Assembly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CKD SKD knockdown, Chinese-market procurement guide export buyer reference</w:t>
      </w:r>
    </w:p>
    <w:p>
      <w:pPr>
        <w:pStyle w:val="ListBullet"/>
      </w:pPr>
      <w:r>
        <w:rPr>
          <w:b/>
        </w:rPr>
        <w:t>FR</w:t>
      </w:r>
      <w:r>
        <w:t>: CKD SKD knockdown, procurement guide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CKD SKD knockdown, Chinesischer procurement guide, Referenz für Exportkäufer</w:t>
      </w:r>
    </w:p>
    <w:p>
      <w:pPr>
        <w:pStyle w:val="ListBullet"/>
      </w:pPr>
      <w:r>
        <w:rPr>
          <w:b/>
        </w:rPr>
        <w:t>ES</w:t>
      </w:r>
      <w:r>
        <w:t>: CKD SKD knockdown, procurement guide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CKD SKD knockdown, procurement guide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CKD SKD knockdown, 中国市場procurement guide・輸出バイヤー向けリファレンス</w:t>
      </w:r>
    </w:p>
    <w:p>
      <w:pPr>
        <w:pStyle w:val="ListBullet"/>
      </w:pPr>
      <w:r>
        <w:rPr>
          <w:b/>
        </w:rPr>
        <w:t>KO</w:t>
      </w:r>
      <w:r>
        <w:t>: CKD SKD knockdown, 중국 시장 procurement guide, 수출 바이어 참고 자료</w:t>
      </w:r>
    </w:p>
    <w:p>
      <w:pPr>
        <w:pStyle w:val="ListBullet"/>
      </w:pPr>
      <w:r>
        <w:rPr>
          <w:b/>
        </w:rPr>
        <w:t>VI</w:t>
      </w:r>
      <w:r>
        <w:t>: CKD SKD knockdown, procurement guide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CKD SKD knockdown, procurement guide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CKD SKD knockdown, procurement guide pasar Tiongkok, referensi pembeli ekspor</w:t>
      </w:r>
    </w:p>
    <w:p>
      <w:pPr>
        <w:pStyle w:val="ListBullet"/>
      </w:pPr>
      <w:r>
        <w:rPr>
          <w:b/>
        </w:rPr>
        <w:t>AR</w:t>
      </w:r>
      <w:r>
        <w:t>: CKD SKD knockdown, procurement guide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CKD SKD knockdown, 中国市场procurement guide·出口采购参考</w:t>
      </w:r>
    </w:p>
    <w:p/>
    <w:p/>
    <w:p>
      <w:r>
        <w:t>#AutoBridge #ChinaCarExport #ExportProcurement #CKD #OverseasAssembly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