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Reading an Ocean Freight Quotation for Vehicle Export: Charge Structure Without Invented Numbers</w:t>
      </w:r>
    </w:p>
    <w:p/>
    <w:p>
      <w:pPr>
        <w:pStyle w:val="Heading2"/>
      </w:pPr>
      <w:r>
        <w:t>SEO Metadata</w:t>
      </w:r>
    </w:p>
    <w:p>
      <w:pPr>
        <w:pStyle w:val="ListBullet"/>
      </w:pPr>
      <w:r>
        <w:rPr>
          <w:b/>
        </w:rPr>
        <w:t>SEO Title</w:t>
      </w:r>
      <w:r>
        <w:t>: Ocean Freight Charge Structure for Vehicle Export — O/F, THC, DOC, BAF Explained</w:t>
      </w:r>
    </w:p>
    <w:p>
      <w:pPr>
        <w:pStyle w:val="ListBullet"/>
      </w:pPr>
      <w:r>
        <w:rPr>
          <w:b/>
        </w:rPr>
        <w:t>Meta Description</w:t>
      </w:r>
      <w:r>
        <w:t>: Understand O/F, THC, DOC/SEAL/VGM, BAF and surcharges, origin vs destination charges, and why AMS/ACI/ENS manifest fees are route-specific — a structure guide that deliberately states no fixed amounts.</w:t>
      </w:r>
    </w:p>
    <w:p>
      <w:pPr>
        <w:pStyle w:val="ListBullet"/>
      </w:pPr>
      <w:r>
        <w:rPr>
          <w:b/>
        </w:rPr>
        <w:t>Suggested URL</w:t>
      </w:r>
      <w:r>
        <w:t>: /guides/ocean-freight-charge-structure-vehicle-export</w:t>
      </w:r>
    </w:p>
    <w:p>
      <w:pPr>
        <w:pStyle w:val="ListBullet"/>
      </w:pPr>
      <w:r>
        <w:rPr>
          <w:b/>
        </w:rPr>
        <w:t>H1</w:t>
      </w:r>
      <w:r>
        <w:t>: Decoding a Vehicle-Export Freight Quote: Which Charges Exist, Who Charges Them, and What to Verify</w:t>
      </w:r>
    </w:p>
    <w:p>
      <w:pPr>
        <w:pStyle w:val="ListBullet"/>
      </w:pPr>
      <w:r>
        <w:rPr>
          <w:b/>
        </w:rPr>
        <w:t>Primary Keyword</w:t>
      </w:r>
      <w:r>
        <w:t>: ocean freight charge structure vehicle export THC DOC BAF</w:t>
      </w:r>
    </w:p>
    <w:p>
      <w:pPr>
        <w:pStyle w:val="ListBullet"/>
      </w:pPr>
      <w:r>
        <w:rPr>
          <w:b/>
        </w:rPr>
        <w:t>Secondary Search Terms</w:t>
      </w:r>
      <w:r>
        <w:t>: O/F ocean freight, terminal handling charge, DOC document fee, SEAL VGM fee, BAF EBS surcharge, AMS ACI ENS manifest fee, origin vs destination charges</w:t>
      </w:r>
    </w:p>
    <w:p>
      <w:pPr>
        <w:pStyle w:val="ListBullet"/>
      </w:pPr>
      <w:r>
        <w:rPr>
          <w:b/>
        </w:rPr>
        <w:t>Internal Link Suggestions</w:t>
      </w:r>
      <w:r>
        <w:t>: /guides/vehicle-export-bill-of-lading-types/ ; /guides/vehicle-export-pdi-pre-shipment-handover/ ; /guides/vehicle-export-hs-code-classification/</w:t>
      </w:r>
    </w:p>
    <w:p>
      <w:pPr>
        <w:pStyle w:val="ListBullet"/>
      </w:pPr>
      <w:r>
        <w:rPr>
          <w:b/>
        </w:rPr>
        <w:t>Image Suggestions</w:t>
      </w:r>
      <w:r>
        <w:t>: charge waterfall origin→ocean→destination; surcharge taxonomy; quote-line audit sheet</w:t>
      </w:r>
    </w:p>
    <w:p>
      <w:pPr>
        <w:pStyle w:val="ListBullet"/>
      </w:pPr>
      <w:r>
        <w:rPr>
          <w:b/>
        </w:rPr>
        <w:t>ALT Suggestions</w:t>
      </w:r>
      <w:r>
        <w:t>: "Ocean freight charge structure split by origin, ocean and destination"</w:t>
      </w:r>
    </w:p>
    <w:p/>
    <w:p>
      <w:pPr>
        <w:pStyle w:val="Heading2"/>
      </w:pPr>
      <w:r>
        <w:t>Why a Structured Quote Matters More Than a Low Number</w:t>
      </w:r>
    </w:p>
    <w:p>
      <w:r>
        <w:t xml:space="preserve">A headline freight rate wins bookings and loses money at destination. Vehicle exporters get caught not by the base ocean freight but by the stack of surcharges and destination fees attached to it. This guide explains </w:t>
      </w:r>
      <w:r>
        <w:rPr>
          <w:b/>
        </w:rPr>
        <w:t>what each charge is, what it is billed on, and where it arises</w:t>
      </w:r>
      <w:r>
        <w:t xml:space="preserve">, and — because every rate moves with lane, capacity and season — it </w:t>
      </w:r>
      <w:r>
        <w:rPr>
          <w:b/>
        </w:rPr>
        <w:t>states no fixed amounts</w:t>
      </w:r>
      <w:r>
        <w:t>. Use it to audit a quote line by line, not to estimate a landed cost.</w:t>
      </w:r>
    </w:p>
    <w:p/>
    <w:p>
      <w:pPr>
        <w:pStyle w:val="Heading2"/>
      </w:pPr>
      <w:r>
        <w:t>The Building Blocks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Charge</w:t>
            </w:r>
          </w:p>
        </w:tc>
        <w:tc>
          <w:tcPr>
            <w:tcW w:type="dxa" w:w="2880"/>
          </w:tcPr>
          <w:p>
            <w:r>
              <w:t>What it covers</w:t>
            </w:r>
          </w:p>
        </w:tc>
        <w:tc>
          <w:tcPr>
            <w:tcW w:type="dxa" w:w="2880"/>
          </w:tcPr>
          <w:p>
            <w:r>
              <w:t>Billed where</w:t>
            </w:r>
          </w:p>
        </w:tc>
      </w:tr>
      <w:tr>
        <w:tc>
          <w:tcPr>
            <w:tcW w:type="dxa" w:w="2880"/>
          </w:tcPr>
          <w:p>
            <w:r>
              <w:t>**O/F (Ocean Freight)**</w:t>
            </w:r>
          </w:p>
        </w:tc>
        <w:tc>
          <w:tcPr>
            <w:tcW w:type="dxa" w:w="2880"/>
          </w:tcPr>
          <w:p>
            <w:r>
              <w:t>Base sea freight; the quote's main component, floating with lane/capacity/season</w:t>
            </w:r>
          </w:p>
        </w:tc>
        <w:tc>
          <w:tcPr>
            <w:tcW w:type="dxa" w:w="2880"/>
          </w:tcPr>
          <w:p>
            <w:r>
              <w:t>Ocean leg</w:t>
            </w:r>
          </w:p>
        </w:tc>
      </w:tr>
      <w:tr>
        <w:tc>
          <w:tcPr>
            <w:tcW w:type="dxa" w:w="2880"/>
          </w:tcPr>
          <w:p>
            <w:r>
              <w:t>**THC (Terminal Handling Charge)**</w:t>
            </w:r>
          </w:p>
        </w:tc>
        <w:tc>
          <w:tcPr>
            <w:tcW w:type="dxa" w:w="2880"/>
          </w:tcPr>
          <w:p>
            <w:r>
              <w:t>Terminal lifting/handling/storage; differs by container size</w:t>
            </w:r>
          </w:p>
        </w:tc>
        <w:tc>
          <w:tcPr>
            <w:tcW w:type="dxa" w:w="2880"/>
          </w:tcPr>
          <w:p>
            <w:r>
              <w:t>Origin **and** destination (OTHC/DTHC)</w:t>
            </w:r>
          </w:p>
        </w:tc>
      </w:tr>
      <w:tr>
        <w:tc>
          <w:tcPr>
            <w:tcW w:type="dxa" w:w="2880"/>
          </w:tcPr>
          <w:p>
            <w:r>
              <w:t>**DOC (document fee)**</w:t>
            </w:r>
          </w:p>
        </w:tc>
        <w:tc>
          <w:tcPr>
            <w:tcW w:type="dxa" w:w="2880"/>
          </w:tcPr>
          <w:p>
            <w:r>
              <w:t>Documentation; origin ODOC and destination DDOC are separate</w:t>
            </w:r>
          </w:p>
        </w:tc>
        <w:tc>
          <w:tcPr>
            <w:tcW w:type="dxa" w:w="2880"/>
          </w:tcPr>
          <w:p>
            <w:r>
              <w:t>Both ends</w:t>
            </w:r>
          </w:p>
        </w:tc>
      </w:tr>
      <w:tr>
        <w:tc>
          <w:tcPr>
            <w:tcW w:type="dxa" w:w="2880"/>
          </w:tcPr>
          <w:p>
            <w:r>
              <w:t>**SEAL / VGM**</w:t>
            </w:r>
          </w:p>
        </w:tc>
        <w:tc>
          <w:tcPr>
            <w:tcW w:type="dxa" w:w="2880"/>
          </w:tcPr>
          <w:p>
            <w:r>
              <w:t>Seal fee and verified gross-mass weighing fee — common origin items</w:t>
            </w:r>
          </w:p>
        </w:tc>
        <w:tc>
          <w:tcPr>
            <w:tcW w:type="dxa" w:w="2880"/>
          </w:tcPr>
          <w:p>
            <w:r>
              <w:t>Origin</w:t>
            </w:r>
          </w:p>
        </w:tc>
      </w:tr>
      <w:tr>
        <w:tc>
          <w:tcPr>
            <w:tcW w:type="dxa" w:w="2880"/>
          </w:tcPr>
          <w:p>
            <w:r>
              <w:t>**BAF (bunker adjustment; akin to EBS)**</w:t>
            </w:r>
          </w:p>
        </w:tc>
        <w:tc>
          <w:tcPr>
            <w:tcW w:type="dxa" w:w="2880"/>
          </w:tcPr>
          <w:p>
            <w:r>
              <w:t>Fuel-linked surcharge; alongside CAF (currency), PSS (peak season), PCS (congestion), WRS (war risk)</w:t>
            </w:r>
          </w:p>
        </w:tc>
        <w:tc>
          <w:tcPr>
            <w:tcW w:type="dxa" w:w="2880"/>
          </w:tcPr>
          <w:p>
            <w:r>
              <w:t>Ocean/variable</w:t>
            </w:r>
          </w:p>
        </w:tc>
      </w:tr>
    </w:tbl>
    <w:p/>
    <w:p>
      <w:pPr>
        <w:pStyle w:val="Heading2"/>
      </w:pPr>
      <w:r>
        <w:t>Manifest Filing Fees Are Route-Specific (editorial guidance, not a universal charge)</w:t>
      </w:r>
    </w:p>
    <w:p>
      <w:r>
        <w:rPr>
          <w:b/>
        </w:rPr>
        <w:t>AMS, ACI, ENS</w:t>
      </w:r>
      <w:r>
        <w:t xml:space="preserve"> and similar automated-manifest filing fees generally arise </w:t>
      </w:r>
      <w:r>
        <w:rPr>
          <w:b/>
        </w:rPr>
        <w:t>only when the routing passes through the corresponding mandatory-filing region</w:t>
      </w:r>
      <w:r>
        <w:t xml:space="preserve"> (e.g., US/Canada/EU advance-manifest regimes). Whether a fee is charged depends on the </w:t>
      </w:r>
      <w:r>
        <w:rPr>
          <w:b/>
        </w:rPr>
        <w:t>lane and the carrier</w:t>
      </w:r>
      <w:r>
        <w:t xml:space="preserve">, and it is settled on that shipment's invoice. This is </w:t>
      </w:r>
      <w:r>
        <w:rPr>
          <w:b/>
        </w:rPr>
        <w:t>route-specific guidance</w:t>
      </w:r>
      <w:r>
        <w:t>, not a universal international charge schedule: a lane that never touches those regimes should not carry the fee, and the guide asserts no fixed tariff for it.</w:t>
      </w:r>
    </w:p>
    <w:p/>
    <w:p>
      <w:pPr>
        <w:pStyle w:val="Heading2"/>
      </w:pPr>
      <w:r>
        <w:t>Origin vs Destination — Where Disputes Hide</w:t>
      </w:r>
    </w:p>
    <w:p>
      <w:pPr>
        <w:pStyle w:val="ListBullet"/>
      </w:pPr>
      <w:r>
        <w:t xml:space="preserve">Split every line into </w:t>
      </w:r>
      <w:r>
        <w:rPr>
          <w:b/>
        </w:rPr>
        <w:t>origin charges</w:t>
      </w:r>
      <w:r>
        <w:t xml:space="preserve"> (before/at loading) and </w:t>
      </w:r>
      <w:r>
        <w:rPr>
          <w:b/>
        </w:rPr>
        <w:t>destination charges</w:t>
      </w:r>
      <w:r>
        <w:t xml:space="preserve"> (at discharge/collection). Vehicle buyers are most often surprised by destination THC, DDOC and delivery-order fees they did not expect.</w:t>
      </w:r>
    </w:p>
    <w:p>
      <w:pPr>
        <w:pStyle w:val="ListBullet"/>
      </w:pPr>
      <w:r>
        <w:t xml:space="preserve">Ask the forwarder to </w:t>
      </w:r>
      <w:r>
        <w:rPr>
          <w:b/>
        </w:rPr>
        <w:t>name each line and its billing unit</w:t>
      </w:r>
      <w:r>
        <w:t xml:space="preserve"> (per container / per bill / per vehicle), so two quotes can be compared on the same basis.</w:t>
      </w:r>
    </w:p>
    <w:p>
      <w:pPr>
        <w:pStyle w:val="ListBullet"/>
      </w:pPr>
      <w:r>
        <w:t xml:space="preserve">Watch for </w:t>
      </w:r>
      <w:r>
        <w:rPr>
          <w:b/>
        </w:rPr>
        <w:t>unnamed surcharges</w:t>
      </w:r>
      <w:r>
        <w:t xml:space="preserve"> and "local charges" with no unit — these are where a low headline rate is recovered.</w:t>
      </w:r>
    </w:p>
    <w:p/>
    <w:p>
      <w:pPr>
        <w:pStyle w:val="Heading2"/>
      </w:pPr>
      <w:r>
        <w:t>A Quote-Audit Method (no figures)</w:t>
      </w:r>
    </w:p>
    <w:p>
      <w:pPr>
        <w:pStyle w:val="ListNumber"/>
      </w:pPr>
      <w:r>
        <w:t>Confirm Incoterm and which side bears origin vs destination charges.</w:t>
      </w:r>
    </w:p>
    <w:p>
      <w:pPr>
        <w:pStyle w:val="ListNumber"/>
      </w:pPr>
      <w:r>
        <w:t xml:space="preserve">List O/F and every surcharge with its </w:t>
      </w:r>
      <w:r>
        <w:rPr>
          <w:b/>
        </w:rPr>
        <w:t>name and billing unit</w:t>
      </w:r>
      <w:r>
        <w:t>.</w:t>
      </w:r>
    </w:p>
    <w:p>
      <w:pPr>
        <w:pStyle w:val="ListNumber"/>
      </w:pPr>
      <w:r>
        <w:t xml:space="preserve">Flag any AMS/ACI/ENS line and check it against the </w:t>
      </w:r>
      <w:r>
        <w:rPr>
          <w:b/>
        </w:rPr>
        <w:t>actual routing</w:t>
      </w:r>
      <w:r>
        <w:t xml:space="preserve"> (route-specific).</w:t>
      </w:r>
    </w:p>
    <w:p>
      <w:pPr>
        <w:pStyle w:val="ListNumber"/>
      </w:pPr>
      <w:r>
        <w:t>Reconcile origin and destination columns; request destination charges in writing.</w:t>
      </w:r>
    </w:p>
    <w:p>
      <w:pPr>
        <w:pStyle w:val="ListNumber"/>
      </w:pPr>
      <w:r>
        <w:t>Re-quote at booking — all rates are time-sensitive and the formal quotation at that moment governs.</w:t>
      </w:r>
    </w:p>
    <w:p/>
    <w:p>
      <w:pPr>
        <w:pStyle w:val="Heading2"/>
      </w:pPr>
      <w:r>
        <w:t>What This Guide Will Not Do</w:t>
      </w:r>
    </w:p>
    <w:p>
      <w:pPr>
        <w:pStyle w:val="ListBullet"/>
      </w:pPr>
      <w:r>
        <w:rPr>
          <w:b/>
        </w:rPr>
        <w:t>No fixed amounts</w:t>
      </w:r>
      <w:r>
        <w:t xml:space="preserve"> (no RMB THC ranges, no filing-fee numbers): prior figures are stale or market-variable and are never presented as current.</w:t>
      </w:r>
    </w:p>
    <w:p>
      <w:pPr>
        <w:pStyle w:val="ListBullet"/>
      </w:pPr>
      <w:r>
        <w:rPr>
          <w:b/>
        </w:rPr>
        <w:t>No landed-cost or margin estimate</w:t>
      </w:r>
      <w:r>
        <w:t xml:space="preserve"> is derived for AutoBridge or the buyer; that requires a live formal quotation.</w:t>
      </w:r>
    </w:p>
    <w:p/>
    <w:p>
      <w:pPr>
        <w:pStyle w:val="Heading2"/>
      </w:pPr>
      <w:r>
        <w:t>Frequently Asked Questions</w:t>
      </w:r>
    </w:p>
    <w:p>
      <w:r>
        <w:rPr>
          <w:b/>
        </w:rPr>
        <w:t>Why do two "same rate" quotes differ at destination?</w:t>
      </w:r>
      <w:r>
        <w:t xml:space="preserve"> Usually destination THC/DDOC/delivery fees and surcharge naming differ — compare line by line with billing units.</w:t>
      </w:r>
    </w:p>
    <w:p>
      <w:r>
        <w:rPr>
          <w:b/>
        </w:rPr>
        <w:t>Must every shipment pay AMS/ACI/ENS?</w:t>
      </w:r>
      <w:r>
        <w:t xml:space="preserve"> No — those manifest fees arise only when the route passes through the relevant mandatory-filing region; verify against the actual lane.</w:t>
      </w:r>
    </w:p>
    <w:p>
      <w:r>
        <w:rPr>
          <w:b/>
        </w:rPr>
        <w:t>Are BAF/EBS fixed?</w:t>
      </w:r>
      <w:r>
        <w:t xml:space="preserve"> No, they are fuel-linked floating surcharges alongside CAF/PSS/PCS/WRS.</w:t>
      </w:r>
    </w:p>
    <w:p>
      <w:r>
        <w:rPr>
          <w:b/>
        </w:rPr>
        <w:t>Does this page give current rates?</w:t>
      </w:r>
      <w:r>
        <w:t xml:space="preserve"> No; rates move with the market and are taken from the formal quotation at booking.</w:t>
      </w:r>
    </w:p>
    <w:p/>
    <w:p>
      <w:pPr>
        <w:pStyle w:val="Heading2"/>
      </w:pPr>
      <w:r>
        <w:t>Image Record</w:t>
      </w:r>
    </w:p>
    <w:p>
      <w:pPr>
        <w:pStyle w:val="ListBullet"/>
      </w:pPr>
      <w:r>
        <w:t>IMAGE_ASSET_PATH: none secured in repository</w:t>
      </w:r>
    </w:p>
    <w:p>
      <w:pPr>
        <w:pStyle w:val="ListBullet"/>
      </w:pPr>
      <w:r>
        <w:t>ORIGINAL_IMAGE_URL: not captured</w:t>
      </w:r>
    </w:p>
    <w:p>
      <w:pPr>
        <w:pStyle w:val="ListBullet"/>
      </w:pPr>
      <w:r>
        <w:t>SOURCE_PAGE: not captured</w:t>
      </w:r>
    </w:p>
    <w:p>
      <w:pPr>
        <w:pStyle w:val="ListBullet"/>
      </w:pPr>
      <w:r>
        <w:t>RIGHTS_HOLDER: unconfirmed</w:t>
      </w:r>
    </w:p>
    <w:p>
      <w:pPr>
        <w:pStyle w:val="ListBullet"/>
      </w:pPr>
      <w:r>
        <w:t>LICENSE_OR_USAGE_BASIS: none secured — no third-party image may be published until rights are cleared</w:t>
      </w:r>
    </w:p>
    <w:p>
      <w:pPr>
        <w:pStyle w:val="ListBullet"/>
      </w:pPr>
      <w:r>
        <w:t>CHECKED_DATE: 2026-09-05</w:t>
      </w:r>
    </w:p>
    <w:p>
      <w:pPr>
        <w:pStyle w:val="ListBullet"/>
      </w:pPr>
      <w:r>
        <w:t>MODEL_TOPIC_MATCH: must match the exact model/version (or the guide topic) and reference market above</w:t>
      </w:r>
    </w:p>
    <w:p>
      <w:pPr>
        <w:pStyle w:val="ListBullet"/>
      </w:pPr>
      <w:r>
        <w:t>IMAGE_RIGHTS_STATUS: FAIL (no licensed asset captured; a placeholder or “retain old image” note is not accepted)</w:t>
      </w:r>
    </w:p>
    <w:p>
      <w:pPr>
        <w:pStyle w:val="ListBullet"/>
      </w:pPr>
      <w:r>
        <w:t>ALT by language:</w:t>
      </w:r>
    </w:p>
    <w:p>
      <w:pPr>
        <w:pStyle w:val="ListBullet"/>
      </w:pPr>
      <w:r>
        <w:rPr>
          <w:b/>
        </w:rPr>
        <w:t>EN</w:t>
      </w:r>
      <w:r>
        <w:t>: AutoBridge export-buyer reference — Ocean freight quotation charge structure, vehicle-export procurement guide</w:t>
      </w:r>
    </w:p>
    <w:p>
      <w:pPr>
        <w:pStyle w:val="ListBullet"/>
      </w:pPr>
      <w:r>
        <w:rPr>
          <w:b/>
        </w:rPr>
        <w:t>FR</w:t>
      </w:r>
      <w:r>
        <w:t>: Référence AutoBridge pour acheteurs export — Ocean freight quotation charge structure, guide d’achat à l’export automobile</w:t>
      </w:r>
    </w:p>
    <w:p>
      <w:pPr>
        <w:pStyle w:val="ListBullet"/>
      </w:pPr>
      <w:r>
        <w:rPr>
          <w:b/>
        </w:rPr>
        <w:t>DE</w:t>
      </w:r>
      <w:r>
        <w:t>: AutoBridge-Referenz für Exportkäufer — Ocean freight quotation charge structure, Leitfaden für Fahrzeugexport-Einkauf</w:t>
      </w:r>
    </w:p>
    <w:p>
      <w:pPr>
        <w:pStyle w:val="ListBullet"/>
      </w:pPr>
      <w:r>
        <w:rPr>
          <w:b/>
        </w:rPr>
        <w:t>ES</w:t>
      </w:r>
      <w:r>
        <w:t>: Referencia AutoBridge para compradores de exportación — Ocean freight quotation charge structure, guía de compras para exportación de vehículos</w:t>
      </w:r>
    </w:p>
    <w:p>
      <w:pPr>
        <w:pStyle w:val="ListBullet"/>
      </w:pPr>
      <w:r>
        <w:rPr>
          <w:b/>
        </w:rPr>
        <w:t>PT</w:t>
      </w:r>
      <w:r>
        <w:t>: Referência AutoBridge para compradores de exportação — Ocean freight quotation charge structure, guia de compras para exportação de veículos</w:t>
      </w:r>
    </w:p>
    <w:p>
      <w:pPr>
        <w:pStyle w:val="ListBullet"/>
      </w:pPr>
      <w:r>
        <w:rPr>
          <w:b/>
        </w:rPr>
        <w:t>JA</w:t>
      </w:r>
      <w:r>
        <w:t>: AutoBridge 輸出バイヤー向けリファレンス｜Ocean freight quotation charge structure, 自動車輸出 調達ガイド</w:t>
      </w:r>
    </w:p>
    <w:p>
      <w:pPr>
        <w:pStyle w:val="ListBullet"/>
      </w:pPr>
      <w:r>
        <w:rPr>
          <w:b/>
        </w:rPr>
        <w:t>KO</w:t>
      </w:r>
      <w:r>
        <w:t>: AutoBridge 수출 바이어 참고 자료｜Ocean freight quotation charge structure, 자동차 수출 조달 가이드</w:t>
      </w:r>
    </w:p>
    <w:p>
      <w:pPr>
        <w:pStyle w:val="ListBullet"/>
      </w:pPr>
      <w:r>
        <w:rPr>
          <w:b/>
        </w:rPr>
        <w:t>VI</w:t>
      </w:r>
      <w:r>
        <w:t>: Tài liệu tham khảo AutoBridge cho người mua xuất khẩu — Ocean freight quotation charge structure, hướng dẫn thu mua xuất khẩu xe</w:t>
      </w:r>
    </w:p>
    <w:p>
      <w:pPr>
        <w:pStyle w:val="ListBullet"/>
      </w:pPr>
      <w:r>
        <w:rPr>
          <w:b/>
        </w:rPr>
        <w:t>TH</w:t>
      </w:r>
      <w:r>
        <w:t>: เอกสารอ้างอิง AutoBridge สำหรับผู้ซื้อเพื่อการส่งออก — Ocean freight quotation charge structure, คู่มือจัดซื้อเพื่อการส่งออกยานยนต์</w:t>
      </w:r>
    </w:p>
    <w:p>
      <w:pPr>
        <w:pStyle w:val="ListBullet"/>
      </w:pPr>
      <w:r>
        <w:rPr>
          <w:b/>
        </w:rPr>
        <w:t>ID</w:t>
      </w:r>
      <w:r>
        <w:t>: Referensi AutoBridge untuk pembeli ekspor — Ocean freight quotation charge structure, panduan pengadaan ekspor kendaraan</w:t>
      </w:r>
    </w:p>
    <w:p>
      <w:pPr>
        <w:pStyle w:val="ListBullet"/>
      </w:pPr>
      <w:r>
        <w:rPr>
          <w:b/>
        </w:rPr>
        <w:t>AR</w:t>
      </w:r>
      <w:r>
        <w:t>: مرجع AutoBridge لمشتري التصدير — Ocean freight quotation charge structure, دليل مشتريات تصدير المركبات</w:t>
      </w:r>
    </w:p>
    <w:p>
      <w:pPr>
        <w:pStyle w:val="ListBullet"/>
      </w:pPr>
      <w:r>
        <w:rPr>
          <w:b/>
        </w:rPr>
        <w:t>ZH</w:t>
      </w:r>
      <w:r>
        <w:t>: AutoBridge 出口采购参考｜Ocean freight quotation charge structure, 汽车出口采购指南</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 title</w:t>
            </w:r>
          </w:p>
        </w:tc>
        <w:tc>
          <w:tcPr>
            <w:tcW w:type="dxa" w:w="1234"/>
          </w:tcPr>
          <w:p>
            <w:r>
              <w:t>Organization</w:t>
            </w:r>
          </w:p>
        </w:tc>
        <w:tc>
          <w:tcPr>
            <w:tcW w:type="dxa" w:w="1234"/>
          </w:tcPr>
          <w:p>
            <w:r>
              <w:t>Market</w:t>
            </w:r>
          </w:p>
        </w:tc>
        <w:tc>
          <w:tcPr>
            <w:tcW w:type="dxa" w:w="1234"/>
          </w:tcPr>
          <w:p>
            <w:r>
              <w:t>URL</w:t>
            </w:r>
          </w:p>
        </w:tc>
        <w:tc>
          <w:tcPr>
            <w:tcW w:type="dxa" w:w="1234"/>
          </w:tcPr>
          <w:p>
            <w:r>
              <w:t>Checked</w:t>
            </w:r>
          </w:p>
        </w:tc>
        <w:tc>
          <w:tcPr>
            <w:tcW w:type="dxa" w:w="1234"/>
          </w:tcPr>
          <w:p>
            <w:r>
              <w:t>Confidence</w:t>
            </w:r>
          </w:p>
        </w:tc>
        <w:tc>
          <w:tcPr>
            <w:tcW w:type="dxa" w:w="1234"/>
          </w:tcPr>
          <w:p>
            <w:r>
              <w:t>Supported facts</w:t>
            </w:r>
          </w:p>
        </w:tc>
      </w:tr>
      <w:tr>
        <w:tc>
          <w:tcPr>
            <w:tcW w:type="dxa" w:w="1234"/>
          </w:tcPr>
          <w:p>
            <w:r>
              <w:t>FCL export surcharge breakdown</w:t>
            </w:r>
          </w:p>
        </w:tc>
        <w:tc>
          <w:tcPr>
            <w:tcW w:type="dxa" w:w="1234"/>
          </w:tcPr>
          <w:p>
            <w:r>
              <w:t>NetEase</w:t>
            </w:r>
          </w:p>
        </w:tc>
        <w:tc>
          <w:tcPr>
            <w:tcW w:type="dxa" w:w="1234"/>
          </w:tcPr>
          <w:p>
            <w:r>
              <w:t>INTL</w:t>
            </w:r>
          </w:p>
        </w:tc>
        <w:tc>
          <w:tcPr>
            <w:tcW w:type="dxa" w:w="1234"/>
          </w:tcPr>
          <w:p>
            <w:r>
              <w:t>https://www.163.com/dy/article/L3DE4MEL0556E2ZO.html</w:t>
            </w:r>
          </w:p>
        </w:tc>
        <w:tc>
          <w:tcPr>
            <w:tcW w:type="dxa" w:w="1234"/>
          </w:tcPr>
          <w:p>
            <w:r>
              <w:t>2026-09-04</w:t>
            </w:r>
          </w:p>
        </w:tc>
        <w:tc>
          <w:tcPr>
            <w:tcW w:type="dxa" w:w="1234"/>
          </w:tcPr>
          <w:p>
            <w:r>
              <w:t>CROSS_CHECKED</w:t>
            </w:r>
          </w:p>
        </w:tc>
        <w:tc>
          <w:tcPr>
            <w:tcW w:type="dxa" w:w="1234"/>
          </w:tcPr>
          <w:p>
            <w:r>
              <w:t>O/F, THC, DOC, BAF, audit method</w:t>
            </w:r>
          </w:p>
        </w:tc>
      </w:tr>
      <w:tr>
        <w:tc>
          <w:tcPr>
            <w:tcW w:type="dxa" w:w="1234"/>
          </w:tcPr>
          <w:p>
            <w:r>
              <w:t>THC definition</w:t>
            </w:r>
          </w:p>
        </w:tc>
        <w:tc>
          <w:tcPr>
            <w:tcW w:type="dxa" w:w="1234"/>
          </w:tcPr>
          <w:p>
            <w:r>
              <w:t>Sina Finance shipping</w:t>
            </w:r>
          </w:p>
        </w:tc>
        <w:tc>
          <w:tcPr>
            <w:tcW w:type="dxa" w:w="1234"/>
          </w:tcPr>
          <w:p>
            <w:r>
              <w:t>INTL</w:t>
            </w:r>
          </w:p>
        </w:tc>
        <w:tc>
          <w:tcPr>
            <w:tcW w:type="dxa" w:w="1234"/>
          </w:tcPr>
          <w:p>
            <w:r>
              <w:t>https://finance.sina.com.cn/roll/2026-07-31/doc-iniksair4574469.shtml.md</w:t>
            </w:r>
          </w:p>
        </w:tc>
        <w:tc>
          <w:tcPr>
            <w:tcW w:type="dxa" w:w="1234"/>
          </w:tcPr>
          <w:p>
            <w:r>
              <w:t>2026-09-04</w:t>
            </w:r>
          </w:p>
        </w:tc>
        <w:tc>
          <w:tcPr>
            <w:tcW w:type="dxa" w:w="1234"/>
          </w:tcPr>
          <w:p>
            <w:r>
              <w:t>CROSS_CHECKED</w:t>
            </w:r>
          </w:p>
        </w:tc>
        <w:tc>
          <w:tcPr>
            <w:tcW w:type="dxa" w:w="1234"/>
          </w:tcPr>
          <w:p>
            <w:r>
              <w:t>Terminal handling coverage</w:t>
            </w:r>
          </w:p>
        </w:tc>
      </w:tr>
      <w:tr>
        <w:tc>
          <w:tcPr>
            <w:tcW w:type="dxa" w:w="1234"/>
          </w:tcPr>
          <w:p>
            <w:r>
              <w:t>Ocean export charge components by lane</w:t>
            </w:r>
          </w:p>
        </w:tc>
        <w:tc>
          <w:tcPr>
            <w:tcW w:type="dxa" w:w="1234"/>
          </w:tcPr>
          <w:p>
            <w:r>
              <w:t>Baike</w:t>
            </w:r>
          </w:p>
        </w:tc>
        <w:tc>
          <w:tcPr>
            <w:tcW w:type="dxa" w:w="1234"/>
          </w:tcPr>
          <w:p>
            <w:r>
              <w:t>INTL</w:t>
            </w:r>
          </w:p>
        </w:tc>
        <w:tc>
          <w:tcPr>
            <w:tcW w:type="dxa" w:w="1234"/>
          </w:tcPr>
          <w:p>
            <w:r>
              <w:t>https://m.baike.com/wiki/%E6%B5%B7%E8%BF%90%E5%87%BA%E5%8F%A3/7570444</w:t>
            </w:r>
          </w:p>
        </w:tc>
        <w:tc>
          <w:tcPr>
            <w:tcW w:type="dxa" w:w="1234"/>
          </w:tcPr>
          <w:p>
            <w:r>
              <w:t>2026-09-04</w:t>
            </w:r>
          </w:p>
        </w:tc>
        <w:tc>
          <w:tcPr>
            <w:tcW w:type="dxa" w:w="1234"/>
          </w:tcPr>
          <w:p>
            <w:r>
              <w:t>CROSS_CHECKED</w:t>
            </w:r>
          </w:p>
        </w:tc>
        <w:tc>
          <w:tcPr>
            <w:tcW w:type="dxa" w:w="1234"/>
          </w:tcPr>
          <w:p>
            <w:r>
              <w:t>Surcharge taxonomy, AMS/ACI/ENS route logic</w:t>
            </w:r>
          </w:p>
        </w:tc>
      </w:tr>
      <w:tr>
        <w:tc>
          <w:tcPr>
            <w:tcW w:type="dxa" w:w="1234"/>
          </w:tcPr>
          <w:p>
            <w:r>
              <w:t>Common FOB charges (THC/booking/trucking)</w:t>
            </w:r>
          </w:p>
        </w:tc>
        <w:tc>
          <w:tcPr>
            <w:tcW w:type="dxa" w:w="1234"/>
          </w:tcPr>
          <w:p>
            <w:r>
              <w:t>11467</w:t>
            </w:r>
          </w:p>
        </w:tc>
        <w:tc>
          <w:tcPr>
            <w:tcW w:type="dxa" w:w="1234"/>
          </w:tcPr>
          <w:p>
            <w:r>
              <w:t>CN</w:t>
            </w:r>
          </w:p>
        </w:tc>
        <w:tc>
          <w:tcPr>
            <w:tcW w:type="dxa" w:w="1234"/>
          </w:tcPr>
          <w:p>
            <w:r>
              <w:t>https://m.11467.com/product/d24491409.htm</w:t>
            </w:r>
          </w:p>
        </w:tc>
        <w:tc>
          <w:tcPr>
            <w:tcW w:type="dxa" w:w="1234"/>
          </w:tcPr>
          <w:p>
            <w:r>
              <w:t>2026-09-04</w:t>
            </w:r>
          </w:p>
        </w:tc>
        <w:tc>
          <w:tcPr>
            <w:tcW w:type="dxa" w:w="1234"/>
          </w:tcPr>
          <w:p>
            <w:r>
              <w:t>SINGLE_SOURCE</w:t>
            </w:r>
          </w:p>
        </w:tc>
        <w:tc>
          <w:tcPr>
            <w:tcW w:type="dxa" w:w="1234"/>
          </w:tcPr>
          <w:p>
            <w:r>
              <w:t>Charge naming</w:t>
            </w:r>
          </w:p>
        </w:tc>
      </w:tr>
    </w:tbl>
    <w:p>
      <w:r>
        <w:t>*Evidence scope: charge structure cross-checked from industry sources (no official tariff primary source); AMS/ACI/ENS framed as route-specific editorial guidance; all amounts deliberately excluded as time-sensitive.*</w:t>
      </w:r>
    </w:p>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Incoterms 2020 rules (who arranges/pays transport at each term)</w:t>
            </w:r>
          </w:p>
        </w:tc>
        <w:tc>
          <w:tcPr>
            <w:tcW w:type="dxa" w:w="1234"/>
          </w:tcPr>
          <w:p>
            <w:r>
              <w:t>International Chamber of Commerce (ICC)</w:t>
            </w:r>
          </w:p>
        </w:tc>
        <w:tc>
          <w:tcPr>
            <w:tcW w:type="dxa" w:w="1234"/>
          </w:tcPr>
          <w:p>
            <w:r>
              <w:t>INT'L</w:t>
            </w:r>
          </w:p>
        </w:tc>
        <w:tc>
          <w:tcPr>
            <w:tcW w:type="dxa" w:w="1234"/>
          </w:tcPr>
          <w:p>
            <w:r>
              <w:t>https://iccwbo.org/business-solutions/incoterms-rules/incoterms-2020/</w:t>
            </w:r>
          </w:p>
        </w:tc>
        <w:tc>
          <w:tcPr>
            <w:tcW w:type="dxa" w:w="1234"/>
          </w:tcPr>
          <w:p>
            <w:r>
              <w:t>2026-09-05</w:t>
            </w:r>
          </w:p>
        </w:tc>
        <w:tc>
          <w:tcPr>
            <w:tcW w:type="dxa" w:w="1234"/>
          </w:tcPr>
          <w:p>
            <w:r>
              <w:t>VERIFIED</w:t>
            </w:r>
          </w:p>
        </w:tc>
        <w:tc>
          <w:tcPr>
            <w:tcW w:type="dxa" w:w="1234"/>
          </w:tcPr>
          <w:p>
            <w:r>
              <w:t>Which freight/charges fall to buyer vs seller by Incoterm</w:t>
            </w:r>
          </w:p>
        </w:tc>
      </w:tr>
      <w:tr>
        <w:tc>
          <w:tcPr>
            <w:tcW w:type="dxa" w:w="1234"/>
          </w:tcPr>
          <w:p>
            <w:r>
              <w:t>Freight-forwarder practice and charge categories</w:t>
            </w:r>
          </w:p>
        </w:tc>
        <w:tc>
          <w:tcPr>
            <w:tcW w:type="dxa" w:w="1234"/>
          </w:tcPr>
          <w:p>
            <w:r>
              <w:t>FIATA</w:t>
            </w:r>
          </w:p>
        </w:tc>
        <w:tc>
          <w:tcPr>
            <w:tcW w:type="dxa" w:w="1234"/>
          </w:tcPr>
          <w:p>
            <w:r>
              <w:t>INT'L</w:t>
            </w:r>
          </w:p>
        </w:tc>
        <w:tc>
          <w:tcPr>
            <w:tcW w:type="dxa" w:w="1234"/>
          </w:tcPr>
          <w:p>
            <w:r>
              <w:t>https://fiata.org/</w:t>
            </w:r>
          </w:p>
        </w:tc>
        <w:tc>
          <w:tcPr>
            <w:tcW w:type="dxa" w:w="1234"/>
          </w:tcPr>
          <w:p>
            <w:r>
              <w:t>2026-09-05</w:t>
            </w:r>
          </w:p>
        </w:tc>
        <w:tc>
          <w:tcPr>
            <w:tcW w:type="dxa" w:w="1234"/>
          </w:tcPr>
          <w:p>
            <w:r>
              <w:t>VERIFIED</w:t>
            </w:r>
          </w:p>
        </w:tc>
        <w:tc>
          <w:tcPr>
            <w:tcW w:type="dxa" w:w="1234"/>
          </w:tcPr>
          <w:p>
            <w:r>
              <w:t>Forwarder quotation/charge-structure reference</w:t>
            </w:r>
          </w:p>
        </w:tc>
      </w:tr>
      <w:tr>
        <w:tc>
          <w:tcPr>
            <w:tcW w:type="dxa" w:w="1234"/>
          </w:tcPr>
          <w:p>
            <w:r>
              <w:t>Liner shipping and surcharge context</w:t>
            </w:r>
          </w:p>
        </w:tc>
        <w:tc>
          <w:tcPr>
            <w:tcW w:type="dxa" w:w="1234"/>
          </w:tcPr>
          <w:p>
            <w:r>
              <w:t>World Shipping Council</w:t>
            </w:r>
          </w:p>
        </w:tc>
        <w:tc>
          <w:tcPr>
            <w:tcW w:type="dxa" w:w="1234"/>
          </w:tcPr>
          <w:p>
            <w:r>
              <w:t>INT'L</w:t>
            </w:r>
          </w:p>
        </w:tc>
        <w:tc>
          <w:tcPr>
            <w:tcW w:type="dxa" w:w="1234"/>
          </w:tcPr>
          <w:p>
            <w:r>
              <w:t>https://www.worldshipping.org/</w:t>
            </w:r>
          </w:p>
        </w:tc>
        <w:tc>
          <w:tcPr>
            <w:tcW w:type="dxa" w:w="1234"/>
          </w:tcPr>
          <w:p>
            <w:r>
              <w:t>2026-09-05</w:t>
            </w:r>
          </w:p>
        </w:tc>
        <w:tc>
          <w:tcPr>
            <w:tcW w:type="dxa" w:w="1234"/>
          </w:tcPr>
          <w:p>
            <w:r>
              <w:t>VERIFIED</w:t>
            </w:r>
          </w:p>
        </w:tc>
        <w:tc>
          <w:tcPr>
            <w:tcW w:type="dxa" w:w="1234"/>
          </w:tcPr>
          <w:p>
            <w:r>
              <w:t>Industry context for ocean freight and ancillary charges</w:t>
            </w:r>
          </w:p>
        </w:tc>
      </w:tr>
      <w:tr>
        <w:tc>
          <w:tcPr>
            <w:tcW w:type="dxa" w:w="1234"/>
          </w:tcPr>
          <w:p>
            <w:r>
              <w:t>China International Freight Forwarders Association</w:t>
            </w:r>
          </w:p>
        </w:tc>
        <w:tc>
          <w:tcPr>
            <w:tcW w:type="dxa" w:w="1234"/>
          </w:tcPr>
          <w:p>
            <w:r>
              <w:t>CIFA</w:t>
            </w:r>
          </w:p>
        </w:tc>
        <w:tc>
          <w:tcPr>
            <w:tcW w:type="dxa" w:w="1234"/>
          </w:tcPr>
          <w:p>
            <w:r>
              <w:t>CN/INT'L</w:t>
            </w:r>
          </w:p>
        </w:tc>
        <w:tc>
          <w:tcPr>
            <w:tcW w:type="dxa" w:w="1234"/>
          </w:tcPr>
          <w:p>
            <w:r>
              <w:t>http://www.cifa.org.cn/</w:t>
            </w:r>
          </w:p>
        </w:tc>
        <w:tc>
          <w:tcPr>
            <w:tcW w:type="dxa" w:w="1234"/>
          </w:tcPr>
          <w:p>
            <w:r>
              <w:t>2026-09-05</w:t>
            </w:r>
          </w:p>
        </w:tc>
        <w:tc>
          <w:tcPr>
            <w:tcW w:type="dxa" w:w="1234"/>
          </w:tcPr>
          <w:p>
            <w:r>
              <w:t>VERIFIED</w:t>
            </w:r>
          </w:p>
        </w:tc>
        <w:tc>
          <w:tcPr>
            <w:tcW w:type="dxa" w:w="1234"/>
          </w:tcPr>
          <w:p>
            <w:r>
              <w:t>China-side forwarding industry and quotation practice</w:t>
            </w:r>
          </w:p>
        </w:tc>
      </w:tr>
    </w:tbl>
    <w:p/>
    <w:p>
      <w:pPr>
        <w:pStyle w:val="Heading2"/>
      </w:pPr>
      <w:r>
        <w:t>Editorial Review</w:t>
      </w:r>
    </w:p>
    <w:p>
      <w:pPr>
        <w:pStyle w:val="ListBullet"/>
      </w:pPr>
      <w:r>
        <w:rPr>
          <w:b/>
        </w:rPr>
        <w:t>Author</w:t>
      </w:r>
      <w:r>
        <w:t>: AutoBridge Export Editorial Team · method per our [Editorial Policy](/editorial-policy/)</w:t>
      </w:r>
    </w:p>
    <w:p>
      <w:pPr>
        <w:pStyle w:val="ListBullet"/>
      </w:pPr>
      <w:r>
        <w:rPr>
          <w:b/>
        </w:rPr>
        <w:t>Last reviewed</w:t>
      </w:r>
      <w:r>
        <w:t>: 2026-09-05</w:t>
      </w:r>
    </w:p>
    <w:p>
      <w:pPr>
        <w:pStyle w:val="ListBullet"/>
      </w:pPr>
      <w:r>
        <w:rPr>
          <w:b/>
        </w:rPr>
        <w:t>Reference market</w:t>
      </w:r>
      <w:r>
        <w:t>: International ocean freight structure (no amounts, no lane-specific tariff)</w:t>
      </w:r>
    </w:p>
    <w:p>
      <w:pPr>
        <w:pStyle w:val="ListBullet"/>
      </w:pPr>
      <w:r>
        <w:rPr>
          <w:b/>
        </w:rPr>
        <w:t>Verification method</w:t>
      </w:r>
      <w:r>
        <w:t>: Structure cross-checked; manifest fees route-scoped; zero fixed figures asserted</w:t>
      </w:r>
    </w:p>
    <w:p>
      <w:pPr>
        <w:pStyle w:val="ListBullet"/>
      </w:pPr>
      <w:r>
        <w:rPr>
          <w:b/>
        </w:rPr>
        <w:t>Transparency</w:t>
      </w:r>
      <w:r>
        <w:t>: AI-assisted drafting was used. This article is based on desk research and automated QA. No first-hand testing is claimed unless explicitly documented; confirm time-sensitive and destination-specific requirements before transacting.</w:t>
      </w:r>
    </w:p>
    <w:p>
      <w:pPr>
        <w:pStyle w:val="ListBullet"/>
      </w:pPr>
      <w:r>
        <w:rPr>
          <w:b/>
        </w:rPr>
        <w:t>Editorial standard</w:t>
      </w:r>
      <w:r>
        <w:t>: Researched and written from the sources listed above (desk research; no first-hand driving, teardown or import is claimed). Source confidence is shown per row; any point we cannot independently confirm is presented as a verification item rather than asserted as fact.</w:t>
      </w:r>
    </w:p>
    <w:p/>
    <w:p>
      <w:r>
        <w:rPr>
          <w:b/>
        </w:rPr>
        <w:t>Tags</w:t>
      </w:r>
      <w:r>
        <w:t>: #OceanFreight #FreightCharges #THC #ShippingQuote #ExportCost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