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Export FX Settlement and Trade-FX Administration for Vehicle Exporters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Export FX Settlement: Trade-FX Registration, Conversion and Aggregate Check</w:t>
      </w:r>
    </w:p>
    <w:p>
      <w:pPr>
        <w:pStyle w:val="ListBullet"/>
      </w:pPr>
      <w:r>
        <w:rPr>
          <w:b/>
        </w:rPr>
        <w:t>Meta Description</w:t>
      </w:r>
      <w:r>
        <w:t>: How a Chinese vehicle exporter handles export receipts: directory registration at a bank before the first transaction, settlement/conversion, and SAFE aggregate verification of goods-flow versus funds-flow.</w:t>
      </w:r>
    </w:p>
    <w:p>
      <w:pPr>
        <w:pStyle w:val="ListBullet"/>
      </w:pPr>
      <w:r>
        <w:rPr>
          <w:b/>
        </w:rPr>
        <w:t>H1</w:t>
      </w:r>
      <w:r>
        <w:t>: Export FX Settlement and Trade-FX Administration for Vehicle Exporters</w:t>
      </w:r>
    </w:p>
    <w:p>
      <w:pPr>
        <w:pStyle w:val="ListBullet"/>
      </w:pPr>
      <w:r>
        <w:rPr>
          <w:b/>
        </w:rPr>
        <w:t>Primary Keyword</w:t>
      </w:r>
      <w:r>
        <w:t>: export fx settlement trade fx registration</w:t>
      </w:r>
    </w:p>
    <w:p>
      <w:pPr>
        <w:pStyle w:val="ListBullet"/>
      </w:pPr>
      <w:r>
        <w:rPr>
          <w:b/>
        </w:rPr>
        <w:t>Secondary Search Terms</w:t>
      </w:r>
      <w:r>
        <w:t>: export FX settlement; trade foreign exchange; SAFE registration; goods flow funds flow; ASOne platform</w:t>
      </w:r>
    </w:p>
    <w:p>
      <w:pPr>
        <w:pStyle w:val="ListBullet"/>
      </w:pPr>
      <w:r>
        <w:rPr>
          <w:b/>
        </w:rPr>
        <w:t>Suggested URL</w:t>
      </w:r>
      <w:r>
        <w:t>: /guides/export-fx-settlement-trade-fx-registration/</w:t>
      </w:r>
    </w:p>
    <w:p>
      <w:pPr>
        <w:pStyle w:val="ListBullet"/>
      </w:pPr>
      <w:r>
        <w:rPr>
          <w:b/>
        </w:rPr>
        <w:t>Search Intent</w:t>
      </w:r>
      <w:r>
        <w:t>: 出口企业如何办理贸易外汇收支企业名录登记、收汇结汇并满足货物流-资金流匹配核查</w:t>
      </w:r>
    </w:p>
    <w:p>
      <w:pPr>
        <w:pStyle w:val="ListBullet"/>
      </w:pPr>
      <w:r>
        <w:rPr>
          <w:b/>
        </w:rPr>
        <w:t>Internal Link Suggestions</w:t>
      </w:r>
      <w:r>
        <w:t>: /guides/export-payment-methods-t-t-lc-risk/, /guides/china-export-vat-refund-process/, /guides/china-export-customs-declaration-single-window/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The one step that must happen before the first receipt</w:t>
      </w:r>
    </w:p>
    <w:p>
      <w:r>
        <w:t xml:space="preserve">Before a Chinese exporter can receive its first export payment, it must be on the </w:t>
      </w:r>
      <w:r>
        <w:rPr>
          <w:b/>
        </w:rPr>
        <w:t>trade foreign-exchange enterprise directory</w:t>
      </w:r>
      <w:r>
        <w:t xml:space="preserve">. Under the current framework the prior SAFE approval step was removed: the enterprise completes </w:t>
      </w:r>
      <w:r>
        <w:rPr>
          <w:b/>
        </w:rPr>
        <w:t>directory registration at its domestic bank</w:t>
      </w:r>
      <w:r>
        <w:t xml:space="preserve"> after obtaining foreign-trade operating rights, and that registration precedes the first receipt/payment. A company that signs its first vehicle export without this step will discover the problem at the moment money should arrive.</w:t>
      </w:r>
    </w:p>
    <w:p/>
    <w:p>
      <w:pPr>
        <w:pStyle w:val="Heading2"/>
      </w:pPr>
      <w:r>
        <w:t>Settlement, conversion and the goods/funds match</w:t>
      </w:r>
    </w:p>
    <w:p>
      <w:r>
        <w:t xml:space="preserve">Export receipts are handled through the banking channel; conversion to RMB follows the account rules. SAFE supervises trade FX through an </w:t>
      </w:r>
      <w:r>
        <w:rPr>
          <w:b/>
        </w:rPr>
        <w:t>aggregate (总量) verification</w:t>
      </w:r>
      <w:r>
        <w:t xml:space="preserve"> that matches the </w:t>
      </w:r>
      <w:r>
        <w:rPr>
          <w:b/>
        </w:rPr>
        <w:t>goods flow</w:t>
      </w:r>
      <w:r>
        <w:t xml:space="preserve"> (customs declarations) against the </w:t>
      </w:r>
      <w:r>
        <w:rPr>
          <w:b/>
        </w:rPr>
        <w:t>funds flow</w:t>
      </w:r>
      <w:r>
        <w:t xml:space="preserve"> (receipts), rather than approving each transaction in advance. Enterprises are classified dynamically; mismatches between what was declared exported and what was received attract scrutiny.</w:t>
      </w:r>
    </w:p>
    <w:p/>
    <w:p>
      <w:pPr>
        <w:pStyle w:val="Heading2"/>
      </w:pPr>
      <w:r>
        <w:t>Where the work is done</w:t>
      </w:r>
    </w:p>
    <w:p>
      <w:r>
        <w:t>Routine registration and reporting are handled at the bank and through the digital foreign-exchange platform (ASOne/数字外管); regional SAFE branches issue guidance, but they are all one authority — the branch is not a separate regulator. Keep the customs declaration, bank receipt and invoice aligned so the aggregate comparison reconciles over the period.</w:t>
      </w:r>
    </w:p>
    <w:p/>
    <w:p>
      <w:pPr>
        <w:pStyle w:val="Heading2"/>
      </w:pPr>
      <w:r>
        <w:t>Operating checklist</w:t>
      </w:r>
    </w:p>
    <w:p>
      <w:pPr>
        <w:pStyle w:val="ListNumber"/>
      </w:pPr>
      <w:r>
        <w:t xml:space="preserve">Obtain foreign-trade rights, then complete trade-FX directory registration at the bank </w:t>
      </w:r>
      <w:r>
        <w:rPr>
          <w:b/>
        </w:rPr>
        <w:t>before the first receipt</w:t>
      </w:r>
      <w:r>
        <w:t>.</w:t>
      </w:r>
    </w:p>
    <w:p>
      <w:pPr>
        <w:pStyle w:val="ListNumber"/>
      </w:pPr>
      <w:r>
        <w:t>Use consistent entity names and contract/invoice numbers across customs, bank and FX records.</w:t>
      </w:r>
    </w:p>
    <w:p>
      <w:pPr>
        <w:pStyle w:val="ListNumber"/>
      </w:pPr>
      <w:r>
        <w:t>Reconcile goods flow and funds flow each period; explain timing differences (deposits, staged shipments) with documents.</w:t>
      </w:r>
    </w:p>
    <w:p>
      <w:pPr>
        <w:pStyle w:val="ListNumber"/>
      </w:pPr>
      <w:r>
        <w:t>File through the digital platform as required; respond promptly to any verification query.</w:t>
      </w:r>
    </w:p>
    <w:p>
      <w:pPr>
        <w:pStyle w:val="ListNumber"/>
      </w:pPr>
      <w:r>
        <w:t>Coordinate with the payment-method and VAT-refund processes so the same transaction is reported consistently.</w:t>
      </w:r>
    </w:p>
    <w:p/>
    <w:p>
      <w:pPr>
        <w:pStyle w:val="Heading2"/>
      </w:pPr>
      <w:r>
        <w:t>Boundaries</w:t>
      </w:r>
    </w:p>
    <w:p>
      <w:r>
        <w:t>Specific account products, bank fees and current operational screens are time-sensitive and bank-specific; this guide quotes none. It covers the China FX side, not destination-country exchange controls.</w:t>
      </w:r>
    </w:p>
    <w:p/>
    <w:p>
      <w:pPr>
        <w:pStyle w:val="Heading2"/>
      </w:pPr>
      <w:r>
        <w:t>FAQ</w:t>
      </w:r>
    </w:p>
    <w:p>
      <w:r>
        <w:rPr>
          <w:b/>
        </w:rPr>
        <w:t>Do I need SAFE approval before every receipt?</w:t>
      </w:r>
      <w:r>
        <w:t xml:space="preserve"> No — the current model uses bank directory registration plus aggregate verification.</w:t>
      </w:r>
    </w:p>
    <w:p>
      <w:r>
        <w:rPr>
          <w:b/>
        </w:rPr>
        <w:t>When must I register?</w:t>
      </w:r>
      <w:r>
        <w:t xml:space="preserve"> After obtaining foreign-trade rights and before the first export receipt/payment.</w:t>
      </w:r>
    </w:p>
    <w:p>
      <w:r>
        <w:rPr>
          <w:b/>
        </w:rPr>
        <w:t>What is aggregate verification?</w:t>
      </w:r>
      <w:r>
        <w:t xml:space="preserve"> Periodic matching of customs goods-flow against bank funds-flow, with dynamic enterprise classification.</w:t>
      </w:r>
    </w:p>
    <w:p>
      <w:r>
        <w:rPr>
          <w:b/>
        </w:rPr>
        <w:t>Are local SAFE branches separate regulators?</w:t>
      </w:r>
      <w:r>
        <w:t xml:space="preserve"> No — one authority; branches implement the same rules.</w:t>
      </w:r>
    </w:p>
    <w:p>
      <w:r>
        <w:rPr>
          <w:b/>
        </w:rPr>
        <w:t>Does this cover the buyer's country FX rules?</w:t>
      </w:r>
      <w:r>
        <w:t xml:space="preserve"> No — only the China side.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关于进一步优化贸易外汇业务管理的通知（名录登记改由银行办理）</w:t>
            </w:r>
          </w:p>
        </w:tc>
        <w:tc>
          <w:tcPr>
            <w:tcW w:type="dxa" w:w="1234"/>
          </w:tcPr>
          <w:p>
            <w:r>
              <w:t>国家外汇管理局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http://www.safe.gov.cn/yunnan/2024/0408/1537.html</w:t>
            </w:r>
          </w:p>
        </w:tc>
        <w:tc>
          <w:tcPr>
            <w:tcW w:type="dxa" w:w="1234"/>
          </w:tcPr>
          <w:p>
            <w:r>
              <w:t>取消外汇局核准, 境内银行办理名录登记, 首笔收支前登记</w:t>
            </w:r>
          </w:p>
        </w:tc>
      </w:tr>
      <w:tr>
        <w:tc>
          <w:tcPr>
            <w:tcW w:type="dxa" w:w="1234"/>
          </w:tcPr>
          <w:p>
            <w:r>
              <w:t>货物贸易外汇业务办事指南（名录登记条件）</w:t>
            </w:r>
          </w:p>
        </w:tc>
        <w:tc>
          <w:tcPr>
            <w:tcW w:type="dxa" w:w="1234"/>
          </w:tcPr>
          <w:p>
            <w:r>
              <w:t>国家外汇管理局吉林省分局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https://www.safe.gov.cn/jilin/file/file/20190617/91d454729ccc456c9b2e6a92cd6bcc51.pdf</w:t>
            </w:r>
          </w:p>
        </w:tc>
        <w:tc>
          <w:tcPr>
            <w:tcW w:type="dxa" w:w="1234"/>
          </w:tcPr>
          <w:p>
            <w:r>
              <w:t>取得对外贸易经营权后办名录</w:t>
            </w:r>
          </w:p>
        </w:tc>
      </w:tr>
      <w:tr>
        <w:tc>
          <w:tcPr>
            <w:tcW w:type="dxa" w:w="1234"/>
          </w:tcPr>
          <w:p>
            <w:r>
              <w:t>货物贸易外汇管理（非现场总量核查/分类管理）</w:t>
            </w:r>
          </w:p>
        </w:tc>
        <w:tc>
          <w:tcPr>
            <w:tcW w:type="dxa" w:w="1234"/>
          </w:tcPr>
          <w:p>
            <w:r>
              <w:t>国家外汇管理局文告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https://www.safe.gov.cn/safe/file/file/20170726/e97561d6d9ca4ba881d275fcb62bad2e.pdf</w:t>
            </w:r>
          </w:p>
        </w:tc>
        <w:tc>
          <w:tcPr>
            <w:tcW w:type="dxa" w:w="1234"/>
          </w:tcPr>
          <w:p>
            <w:r>
              <w:t>总量核查, 货物流资金流匹配, 动态分类</w:t>
            </w:r>
          </w:p>
        </w:tc>
      </w:tr>
      <w:tr>
        <w:tc>
          <w:tcPr>
            <w:tcW w:type="dxa" w:w="1234"/>
          </w:tcPr>
          <w:p>
            <w:r>
              <w:t>名录登记网上办理操作指引（ASOne平台）</w:t>
            </w:r>
          </w:p>
        </w:tc>
        <w:tc>
          <w:tcPr>
            <w:tcW w:type="dxa" w:w="1234"/>
          </w:tcPr>
          <w:p>
            <w:r>
              <w:t>国家外汇管理局广东省分局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https://www.safe.gov.cn/guangdong/file/file/20210429/babf0a6020e84b4585a7ba6737bb2c41.pdf</w:t>
            </w:r>
          </w:p>
        </w:tc>
        <w:tc>
          <w:tcPr>
            <w:tcW w:type="dxa" w:w="1234"/>
          </w:tcPr>
          <w:p>
            <w:r>
              <w:t>数字外管平台ASOne操作</w:t>
            </w:r>
          </w:p>
        </w:tc>
      </w:tr>
      <w:tr>
        <w:tc>
          <w:tcPr>
            <w:tcW w:type="dxa" w:w="1234"/>
          </w:tcPr>
          <w:p>
            <w:r>
              <w:t>State Administration of Foreign Exchange (SAFE)</w:t>
            </w:r>
          </w:p>
        </w:tc>
        <w:tc>
          <w:tcPr>
            <w:tcW w:type="dxa" w:w="1234"/>
          </w:tcPr>
          <w:p>
            <w:r>
              <w:t>SAFE 国家外汇管理局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https://www.safe.gov.cn/en/</w:t>
            </w:r>
          </w:p>
        </w:tc>
        <w:tc>
          <w:tcPr>
            <w:tcW w:type="dxa" w:w="1234"/>
          </w:tcPr>
          <w:p>
            <w:r>
              <w:t>trade-FX registration and aggregate verification authority</w:t>
            </w:r>
          </w:p>
        </w:tc>
      </w:tr>
      <w:tr>
        <w:tc>
          <w:tcPr>
            <w:tcW w:type="dxa" w:w="1234"/>
          </w:tcPr>
          <w:p>
            <w:r>
              <w:t>State Administration of Foreign Exchange (SAFE)</w:t>
            </w:r>
          </w:p>
        </w:tc>
        <w:tc>
          <w:tcPr>
            <w:tcW w:type="dxa" w:w="1234"/>
          </w:tcPr>
          <w:p>
            <w:r>
              <w:t>SAFE (regulator)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https://www.safe.gov.cn/</w:t>
            </w:r>
          </w:p>
        </w:tc>
        <w:tc>
          <w:tcPr>
            <w:tcW w:type="dxa" w:w="1234"/>
          </w:tcPr>
          <w:p>
            <w:r>
              <w:t>competent authority for trade-FX registration and aggregate verification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CN（中国外汇管理侧）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Export FX Settlement and Trade-FX Administration for Vehicle Exporters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export FX settlement,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export FX settlement,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export FX settlement,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export FX settlement,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export FX settlement,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export FX settlement,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export FX settlement,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export FX settlement,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export FX settlement,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export FX settlement,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export FX settlement,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export FX settlement, 中国市场procurement guide·出口采购参考</w:t>
      </w:r>
    </w:p>
    <w:p/>
    <w:p/>
    <w:p>
      <w:r>
        <w:t>#AutoBridge #ChinaCarExport #ExportProcurement #TradeFX #SAFE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