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of Conformity vs Type Approval: a Dossier Map Exporters Keep Getting Wrong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CoC vs Type Approval (WVTA, OTTS, E-mark) Buyer Guide</w:t>
      </w:r>
    </w:p>
    <w:p>
      <w:pPr>
        <w:pStyle w:val="ListBullet"/>
      </w:pPr>
      <w:r>
        <w:rPr>
          <w:b/>
        </w:rPr>
        <w:t>Meta Description</w:t>
      </w:r>
      <w:r>
        <w:t>: Untangle China's domestic certificate of conformity from destination-market CoC, and EU WVTA, EAEU OTTS/EAC and e-mark/E-mark systems — so the right dossier reaches the registration desk.</w:t>
      </w:r>
    </w:p>
    <w:p>
      <w:pPr>
        <w:pStyle w:val="ListBullet"/>
      </w:pPr>
      <w:r>
        <w:rPr>
          <w:b/>
        </w:rPr>
        <w:t>Suggested URL</w:t>
      </w:r>
      <w:r>
        <w:t>: /guides/vehicle-coc-type-approval-dossier/</w:t>
      </w:r>
    </w:p>
    <w:p>
      <w:pPr>
        <w:pStyle w:val="ListBullet"/>
      </w:pPr>
      <w:r>
        <w:rPr>
          <w:b/>
        </w:rPr>
        <w:t>H1</w:t>
      </w:r>
      <w:r>
        <w:t>: Vehicle CoC and Whole-Vehicle Type Approval: Matching the Right Document to the Right Market</w:t>
      </w:r>
    </w:p>
    <w:p>
      <w:pPr>
        <w:pStyle w:val="ListBullet"/>
      </w:pPr>
      <w:r>
        <w:rPr>
          <w:b/>
        </w:rPr>
        <w:t>Primary Keyword</w:t>
      </w:r>
      <w:r>
        <w:t>: vehicle certificate of conformity vs type approval wvta otts emark</w:t>
      </w:r>
    </w:p>
    <w:p>
      <w:pPr>
        <w:pStyle w:val="ListBullet"/>
      </w:pPr>
      <w:r>
        <w:rPr>
          <w:b/>
        </w:rPr>
        <w:t>Secondary Search Terms</w:t>
      </w:r>
      <w:r>
        <w:t>: China CoC export, EU whole vehicle type approval, EAEU OTTS EAC, e-mark vs E-mark, UNECE 1958 type approval, vehicle registration dossier</w:t>
      </w:r>
    </w:p>
    <w:p>
      <w:pPr>
        <w:pStyle w:val="ListBullet"/>
      </w:pPr>
      <w:r>
        <w:rPr>
          <w:b/>
        </w:rPr>
        <w:t>Internal Link Suggestions</w:t>
      </w:r>
      <w:r>
        <w:t>: /guides/china-vehicle-export-license-customs-documents/ ; /guides/uae-vehicle-import-registration-documents/ ; /vehicles/saic-maxus-v90-specs/</w:t>
      </w:r>
    </w:p>
    <w:p>
      <w:pPr>
        <w:pStyle w:val="ListBullet"/>
      </w:pPr>
      <w:r>
        <w:rPr>
          <w:b/>
        </w:rPr>
        <w:t>Image Suggestions</w:t>
      </w:r>
      <w:r>
        <w:t>: document-hierarchy diagram (type approval → CoC); market→certificate map; China CoC vs destination CoC comparison</w:t>
      </w:r>
    </w:p>
    <w:p>
      <w:pPr>
        <w:pStyle w:val="ListBullet"/>
      </w:pPr>
      <w:r>
        <w:rPr>
          <w:b/>
        </w:rPr>
        <w:t>ALT Suggestions</w:t>
      </w:r>
      <w:r>
        <w:t>: "type approval to certificate of conformity hierarchy"; "WVTA OTTS E-mark market map"</w:t>
      </w:r>
    </w:p>
    <w:p/>
    <w:p>
      <w:pPr>
        <w:pStyle w:val="Heading2"/>
      </w:pPr>
      <w:r>
        <w:t>The Core Confusion</w:t>
      </w:r>
    </w:p>
    <w:p>
      <w:r>
        <w:t xml:space="preserve">Exporters repeatedly treat </w:t>
      </w:r>
      <w:r>
        <w:rPr>
          <w:b/>
        </w:rPr>
        <w:t>one document as if it were another</w:t>
      </w:r>
      <w:r>
        <w:t xml:space="preserve">: they present a Chinese domestic 合格证/CoC as overseas market access, or assume a component E-mark certifies the whole vehicle. Type approval and a certificate of conformity sit at different levels — and getting this wrong is a common reason registration is rejected. This guide maps the systems. </w:t>
      </w:r>
      <w:r>
        <w:rPr>
          <w:b/>
        </w:rPr>
        <w:t>Evidence note:</w:t>
      </w:r>
      <w:r>
        <w:t xml:space="preserve"> the China-side framework is grounded in MIIT materials; descriptions of EU/EAEU/UNECE instruments below come from certification-service providers (secondary), and the regulation texts themselves should be pulled from EUR-Lex / UNECE / the EAEU commission before a compliance decision — they are not quoted here as primary statute.</w:t>
      </w:r>
    </w:p>
    <w:p/>
    <w:p>
      <w:pPr>
        <w:pStyle w:val="Heading2"/>
      </w:pPr>
      <w:r>
        <w:t>Level 1 — Type Approval (the vehicle model is approved)</w:t>
      </w:r>
    </w:p>
    <w:p>
      <w:r>
        <w:t xml:space="preserve">Type approval certifies that a </w:t>
      </w:r>
      <w:r>
        <w:rPr>
          <w:b/>
        </w:rPr>
        <w:t>vehicle type/system</w:t>
      </w:r>
      <w:r>
        <w:t xml:space="preserve"> meets a market's requirements. It happens at model level and is a precondition for per-vehicle documents:</w:t>
      </w:r>
    </w:p>
    <w:p>
      <w:pPr>
        <w:pStyle w:val="ListBullet"/>
      </w:pPr>
      <w:r>
        <w:rPr>
          <w:b/>
        </w:rPr>
        <w:t>EU — Whole Vehicle Type Approval (WVTA):</w:t>
      </w:r>
      <w:r>
        <w:t xml:space="preserve"> compulsory whole-vehicle market access, described by certification providers as based on </w:t>
      </w:r>
      <w:r>
        <w:rPr>
          <w:b/>
        </w:rPr>
        <w:t>Regulation (EU) 2018/858</w:t>
      </w:r>
      <w:r>
        <w:t>, which applied fully from 1 September 2020 and replaced Directive 2007/46/EC; one approval is recognised across member states. *Verify the current consolidated text and any successor acts on EUR-Lex before relying on dates or scope.*</w:t>
      </w:r>
    </w:p>
    <w:p>
      <w:pPr>
        <w:pStyle w:val="ListBullet"/>
      </w:pPr>
      <w:r>
        <w:rPr>
          <w:b/>
        </w:rPr>
        <w:t>EAEU — OTTS / EAC:</w:t>
      </w:r>
      <w:r>
        <w:t xml:space="preserve"> for the Eurasian Economic Union, whole vehicles require an </w:t>
      </w:r>
      <w:r>
        <w:rPr>
          <w:b/>
        </w:rPr>
        <w:t>OTTS type approval (or EAC)</w:t>
      </w:r>
      <w:r>
        <w:t xml:space="preserve"> under </w:t>
      </w:r>
      <w:r>
        <w:rPr>
          <w:b/>
        </w:rPr>
        <w:t>TR CU 018/2011 "On the Safety of Wheeled Vehicles,"</w:t>
      </w:r>
      <w:r>
        <w:t xml:space="preserve"> and an </w:t>
      </w:r>
      <w:r>
        <w:rPr>
          <w:b/>
        </w:rPr>
        <w:t>authorised representative within the Union</w:t>
      </w:r>
      <w:r>
        <w:t xml:space="preserve"> is generally required. *Confirm the current technical-regulation text and representative rules with the EAEU commission.*</w:t>
      </w:r>
    </w:p>
    <w:p>
      <w:r>
        <w:t>Type approval is market-specific: an EU WVTA does not grant EAEU access, and vice versa.</w:t>
      </w:r>
    </w:p>
    <w:p/>
    <w:p>
      <w:pPr>
        <w:pStyle w:val="Heading2"/>
      </w:pPr>
      <w:r>
        <w:t>Level 2 — Certificate of Conformity (this specific unit matches the approved type)</w:t>
      </w:r>
    </w:p>
    <w:p>
      <w:r>
        <w:t xml:space="preserve">Once a type is approved, </w:t>
      </w:r>
      <w:r>
        <w:rPr>
          <w:b/>
        </w:rPr>
        <w:t>each vehicle is issued a CoC certifying that the unit matches the approved type</w:t>
      </w:r>
      <w:r>
        <w:t>; the CoC is the document that travels with the car to the destination registration desk. Two traps:</w:t>
      </w:r>
    </w:p>
    <w:p>
      <w:pPr>
        <w:pStyle w:val="ListBullet"/>
      </w:pPr>
      <w:r>
        <w:t xml:space="preserve">The </w:t>
      </w:r>
      <w:r>
        <w:rPr>
          <w:b/>
        </w:rPr>
        <w:t>Chinese 合格证/一致性证书 is a domestic registration/admission document</w:t>
      </w:r>
      <w:r>
        <w:t xml:space="preserve"> (rooted in MIIT Order No. 50 and related rules) — it is </w:t>
      </w:r>
      <w:r>
        <w:rPr>
          <w:b/>
        </w:rPr>
        <w:t>not</w:t>
      </w:r>
      <w:r>
        <w:t xml:space="preserve"> an EU WVTA CoC or an EAEU/EAC document.</w:t>
      </w:r>
    </w:p>
    <w:p>
      <w:pPr>
        <w:pStyle w:val="ListBullet"/>
      </w:pPr>
      <w:r>
        <w:t xml:space="preserve">A destination CoC can only be issued </w:t>
      </w:r>
      <w:r>
        <w:rPr>
          <w:b/>
        </w:rPr>
        <w:t>against a valid destination type approval</w:t>
      </w:r>
      <w:r>
        <w:t>; you cannot manufacture an EU CoC from Chinese paperwork alone.</w:t>
      </w:r>
    </w:p>
    <w:p/>
    <w:p>
      <w:pPr>
        <w:pStyle w:val="Heading2"/>
      </w:pPr>
      <w:r>
        <w:t>Level 3 — Component/System Marks (e-mark vs E-mark)</w:t>
      </w:r>
    </w:p>
    <w:p>
      <w:r>
        <w:t>These operate below whole-vehicle level and are often conflated:</w:t>
      </w:r>
    </w:p>
    <w:p>
      <w:pPr>
        <w:pStyle w:val="ListBullet"/>
      </w:pPr>
      <w:r>
        <w:rPr>
          <w:b/>
        </w:rPr>
        <w:t>Lowercase rectangular "e" mark:</w:t>
      </w:r>
      <w:r>
        <w:t xml:space="preserve"> tied to the </w:t>
      </w:r>
      <w:r>
        <w:rPr>
          <w:b/>
        </w:rPr>
        <w:t>EU WVTA framework</w:t>
      </w:r>
      <w:r>
        <w:t xml:space="preserve"> for whole-vehicle/EC component approvals.</w:t>
      </w:r>
    </w:p>
    <w:p>
      <w:pPr>
        <w:pStyle w:val="ListBullet"/>
      </w:pPr>
      <w:r>
        <w:rPr>
          <w:b/>
        </w:rPr>
        <w:t>Uppercase circular "E" mark:</w:t>
      </w:r>
      <w:r>
        <w:t xml:space="preserve"> tied to the </w:t>
      </w:r>
      <w:r>
        <w:rPr>
          <w:b/>
        </w:rPr>
        <w:t>UNECE 1958 Agreement ECE regulations</w:t>
      </w:r>
      <w:r>
        <w:t xml:space="preserve"> for components/systems, with mutual recognition among contracting parties.</w:t>
      </w:r>
    </w:p>
    <w:p>
      <w:r>
        <w:t xml:space="preserve">A bag of E-marked components does </w:t>
      </w:r>
      <w:r>
        <w:rPr>
          <w:b/>
        </w:rPr>
        <w:t>not</w:t>
      </w:r>
      <w:r>
        <w:t xml:space="preserve"> equal a whole-vehicle WVTA, and a single e-mark on one system does not approve the entire car. Build the component dossier in parallel with — not instead of — whole-vehicle approval.</w:t>
      </w:r>
    </w:p>
    <w:p/>
    <w:p>
      <w:pPr>
        <w:pStyle w:val="Heading2"/>
      </w:pPr>
      <w:r>
        <w:t>How to Assemble the Dossier Without Mismatch</w:t>
      </w:r>
    </w:p>
    <w:p>
      <w:pPr>
        <w:pStyle w:val="ListNumber"/>
      </w:pPr>
      <w:r>
        <w:rPr>
          <w:b/>
        </w:rPr>
        <w:t>Name the destination market first</w:t>
      </w:r>
      <w:r>
        <w:t xml:space="preserve"> → identify the whole-vehicle regime (WVTA / OTTS / GCC / national).</w:t>
      </w:r>
    </w:p>
    <w:p>
      <w:pPr>
        <w:pStyle w:val="ListNumber"/>
      </w:pPr>
      <w:r>
        <w:rPr>
          <w:b/>
        </w:rPr>
        <w:t>Confirm the approval holder and in-market authorised representative</w:t>
      </w:r>
      <w:r>
        <w:t xml:space="preserve"> (the EAEU explicitly requires one).</w:t>
      </w:r>
    </w:p>
    <w:p>
      <w:pPr>
        <w:pStyle w:val="ListNumber"/>
      </w:pPr>
      <w:r>
        <w:rPr>
          <w:b/>
        </w:rPr>
        <w:t>Separate three stacks:</w:t>
      </w:r>
      <w:r>
        <w:t xml:space="preserve"> whole-vehicle type approval; per-vehicle CoC; component/system marks.</w:t>
      </w:r>
    </w:p>
    <w:p>
      <w:pPr>
        <w:pStyle w:val="ListNumber"/>
      </w:pPr>
      <w:r>
        <w:rPr>
          <w:b/>
        </w:rPr>
        <w:t>Keep the China 合格证 in the China stack</w:t>
      </w:r>
      <w:r>
        <w:t xml:space="preserve"> — use it to prove build consistency, never as destination access.</w:t>
      </w:r>
    </w:p>
    <w:p>
      <w:pPr>
        <w:pStyle w:val="ListNumber"/>
      </w:pPr>
      <w:r>
        <w:rPr>
          <w:b/>
        </w:rPr>
        <w:t>Pull primary regulation text</w:t>
      </w:r>
      <w:r>
        <w:t xml:space="preserve"> (EUR-Lex/UNECE/EAEU) for dated requirements; treat certification-service summaries as navigation, not authority.</w:t>
      </w:r>
    </w:p>
    <w:p/>
    <w:p>
      <w:pPr>
        <w:pStyle w:val="Heading2"/>
      </w:pPr>
      <w:r>
        <w:t>What This Guide Recommends Before Committing Tooling or Deposit</w:t>
      </w:r>
    </w:p>
    <w:p>
      <w:pPr>
        <w:pStyle w:val="ListBullet"/>
      </w:pPr>
      <w:r>
        <w:t xml:space="preserve">A written </w:t>
      </w:r>
      <w:r>
        <w:rPr>
          <w:b/>
        </w:rPr>
        <w:t>market→regime→document matrix</w:t>
      </w:r>
      <w:r>
        <w:t xml:space="preserve"> for each destination, with the approval holder named.</w:t>
      </w:r>
    </w:p>
    <w:p>
      <w:pPr>
        <w:pStyle w:val="ListBullet"/>
      </w:pPr>
      <w:r>
        <w:t xml:space="preserve">Confirmation of </w:t>
      </w:r>
      <w:r>
        <w:rPr>
          <w:b/>
        </w:rPr>
        <w:t>which entity issues the destination CoC</w:t>
      </w:r>
      <w:r>
        <w:t xml:space="preserve"> and that it references a valid type-approval number.</w:t>
      </w:r>
    </w:p>
    <w:p>
      <w:pPr>
        <w:pStyle w:val="ListBullet"/>
      </w:pPr>
      <w:r>
        <w:t xml:space="preserve">A </w:t>
      </w:r>
      <w:r>
        <w:rPr>
          <w:b/>
        </w:rPr>
        <w:t>component-mark inventory</w:t>
      </w:r>
      <w:r>
        <w:t xml:space="preserve"> that is not mistaken for whole-vehicle approval.</w:t>
      </w:r>
    </w:p>
    <w:p>
      <w:pPr>
        <w:pStyle w:val="ListBullet"/>
      </w:pPr>
      <w:r>
        <w:t xml:space="preserve">Primary-source verification of every </w:t>
      </w:r>
      <w:r>
        <w:rPr>
          <w:b/>
        </w:rPr>
        <w:t>dated regulation</w:t>
      </w:r>
      <w:r>
        <w:t xml:space="preserve"> (2018/858, TR CU 018/2011, 1958 Agreement) before customer-facing claims.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my Chinese CoC enough to register in Europe?</w:t>
      </w:r>
      <w:r>
        <w:t xml:space="preserve"> No — the Chinese 合格证 is a domestic document; EU registration needs EU type approval and an EU CoC.</w:t>
      </w:r>
    </w:p>
    <w:p>
      <w:r>
        <w:rPr>
          <w:b/>
        </w:rPr>
        <w:t>What is the difference between WVTA and a CoC?</w:t>
      </w:r>
      <w:r>
        <w:t xml:space="preserve"> WVTA approves the vehicle type across the EU; a CoC certifies each individual unit matches that approved type.</w:t>
      </w:r>
    </w:p>
    <w:p>
      <w:r>
        <w:rPr>
          <w:b/>
        </w:rPr>
        <w:t>Are e-mark and E-mark the same?</w:t>
      </w:r>
      <w:r>
        <w:t xml:space="preserve"> No — rectangular e is tied to EU whole-vehicle/EC approvals; circular E is UNECE 1958 component/system approval among contracting parties.</w:t>
      </w:r>
    </w:p>
    <w:p>
      <w:r>
        <w:rPr>
          <w:b/>
        </w:rPr>
        <w:t>Does E-mark on parts approve the whole vehicle?</w:t>
      </w:r>
      <w:r>
        <w:t xml:space="preserve"> No; component marks support but never replace whole-vehicle type approval.</w:t>
      </w:r>
    </w:p>
    <w:p>
      <w:r>
        <w:rPr>
          <w:b/>
        </w:rPr>
        <w:t>Do I need a local representative for EAEU approval?</w:t>
      </w:r>
      <w:r>
        <w:t xml:space="preserve"> OTTS/EAC arrangements generally require an authorised representative within the Union — confirm the current TR CU 018 text.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Certificate of Conformity vs type approval,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Certificate of Conformity vs type approval,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Certificate of Conformity vs type approval,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Certificate of Conformity vs type approval,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Certificate of Conformity vs type approval,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輸出バイヤー向けリファレンス｜Certificate of Conformity vs type approval,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자료｜Certificate of Conformity vs type approval,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Certificate of Conformity vs type approval,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Certificate of Conformity vs type approval,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Certificate of Conformity vs type approval,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Certificate of Conformity vs type approval,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出口采购参考｜Certificate of Conformity vs type approval,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MIIT Order No. 50 — admission framework</w:t>
            </w:r>
          </w:p>
        </w:tc>
        <w:tc>
          <w:tcPr>
            <w:tcW w:type="dxa" w:w="1234"/>
          </w:tcPr>
          <w:p>
            <w:r>
              <w:t>MIIT / State Council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https://www.gov.cn/gongbao/content/2019/content_5380357.htm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Chinese domestic CoC/admission context</w:t>
            </w:r>
          </w:p>
        </w:tc>
      </w:tr>
      <w:tr>
        <w:tc>
          <w:tcPr>
            <w:tcW w:type="dxa" w:w="1234"/>
          </w:tcPr>
          <w:p>
            <w:r>
              <w:t>EU WVTA + FMVSS scheme note (2018/858)</w:t>
            </w:r>
          </w:p>
        </w:tc>
        <w:tc>
          <w:tcPr>
            <w:tcW w:type="dxa" w:w="1234"/>
          </w:tcPr>
          <w:p>
            <w:r>
              <w:t>Third-party certification body</w:t>
            </w:r>
          </w:p>
        </w:tc>
        <w:tc>
          <w:tcPr>
            <w:tcW w:type="dxa" w:w="1234"/>
          </w:tcPr>
          <w:p>
            <w:r>
              <w:t>EU</w:t>
            </w:r>
          </w:p>
        </w:tc>
        <w:tc>
          <w:tcPr>
            <w:tcW w:type="dxa" w:w="1234"/>
          </w:tcPr>
          <w:p>
            <w:r>
              <w:t>https://m.11467.com/product/d53638850.htm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WVTA/2018/858 description; CoC role (secondary)</w:t>
            </w:r>
          </w:p>
        </w:tc>
      </w:tr>
      <w:tr>
        <w:tc>
          <w:tcPr>
            <w:tcW w:type="dxa" w:w="1234"/>
          </w:tcPr>
          <w:p>
            <w:r>
              <w:t>OTTS / TR CU 018/2011 explainer</w:t>
            </w:r>
          </w:p>
        </w:tc>
        <w:tc>
          <w:tcPr>
            <w:tcW w:type="dxa" w:w="1234"/>
          </w:tcPr>
          <w:p>
            <w:r>
              <w:t>Certification-service provider</w:t>
            </w:r>
          </w:p>
        </w:tc>
        <w:tc>
          <w:tcPr>
            <w:tcW w:type="dxa" w:w="1234"/>
          </w:tcPr>
          <w:p>
            <w:r>
              <w:t>EAEU</w:t>
            </w:r>
          </w:p>
        </w:tc>
        <w:tc>
          <w:tcPr>
            <w:tcW w:type="dxa" w:w="1234"/>
          </w:tcPr>
          <w:p>
            <w:r>
              <w:t>https://m.11467.com/product/d21445928.htm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OTTS/EAC, authorised representative (secondary)</w:t>
            </w:r>
          </w:p>
        </w:tc>
      </w:tr>
      <w:tr>
        <w:tc>
          <w:tcPr>
            <w:tcW w:type="dxa" w:w="1234"/>
          </w:tcPr>
          <w:p>
            <w:r>
              <w:t>e-mark vs E-mark explainer</w:t>
            </w:r>
          </w:p>
        </w:tc>
        <w:tc>
          <w:tcPr>
            <w:tcW w:type="dxa" w:w="1234"/>
          </w:tcPr>
          <w:p>
            <w:r>
              <w:t>Certification-service provider</w:t>
            </w:r>
          </w:p>
        </w:tc>
        <w:tc>
          <w:tcPr>
            <w:tcW w:type="dxa" w:w="1234"/>
          </w:tcPr>
          <w:p>
            <w:r>
              <w:t>Global/EU</w:t>
            </w:r>
          </w:p>
        </w:tc>
        <w:tc>
          <w:tcPr>
            <w:tcW w:type="dxa" w:w="1234"/>
          </w:tcPr>
          <w:p>
            <w:r>
              <w:t>https://m.11467.com/product/d55481671.htm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e/E-mark distinction (secondary)</w:t>
            </w:r>
          </w:p>
        </w:tc>
      </w:tr>
    </w:tbl>
    <w:p>
      <w:r>
        <w:t>*Evidence ceiling: EU/EAEU/UNECE instruments are described from secondary certification-service sources; no stable EUR-Lex/UNECE/EAEU primary text was captured. Regulation dates and scope must be verified against primary texts before compliance use. China-side framework is the only official-backed portion.*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Regulation (EU) 2018/858 (consolidated 2021-09-26) on type-approval of motor vehicles — WVTA; whole-vehicle vs</w:t>
            </w:r>
          </w:p>
        </w:tc>
        <w:tc>
          <w:tcPr>
            <w:tcW w:type="dxa" w:w="1234"/>
          </w:tcPr>
          <w:p>
            <w:r>
              <w:t>EUR-Lex (EU official legal database)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https://eur-lex.europa.eu/legal-content/EN/TXT/PDF/?uri=CELEX:02018R0858-20210926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Regulation (EU) 2018/858 (original), Chapter VI / Article 36 — manufacturer issues a CoC for each vehicle conf</w:t>
            </w:r>
          </w:p>
        </w:tc>
        <w:tc>
          <w:tcPr>
            <w:tcW w:type="dxa" w:w="1234"/>
          </w:tcPr>
          <w:p>
            <w:r>
              <w:t>EUR-Lex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https://eur-lex.europa.eu/legal-content/EN/TXT/PDF/?uri=CELEX:32018R0858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2018/858 Chapter VI (CoC) official reproduction</w:t>
            </w:r>
          </w:p>
        </w:tc>
        <w:tc>
          <w:tcPr>
            <w:tcW w:type="dxa" w:w="1234"/>
          </w:tcPr>
          <w:p>
            <w:r>
              <w:t>legislation.gov.uk (UK official statute law data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https://www.legislation.gov.uk/eur/2018/858/chapter/VI/2018-05-30/data.pdf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1958 Agreement (Rev.3), E/ECE/TRANS/505 — framework for UN Regulation type approvals of components/systems/STU</w:t>
            </w:r>
          </w:p>
        </w:tc>
        <w:tc>
          <w:tcPr>
            <w:tcW w:type="dxa" w:w="1234"/>
          </w:tcPr>
          <w:p>
            <w:r>
              <w:t>UNECE (United Nations)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https://unece.org/fileadmin/DAM/trans/main/wp29/wp29regs/2017/E-ECE-TRANS-505-Rev.3e.pdf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GRRF-84-18 (approval mark/numbering structure, E + country number)</w:t>
            </w:r>
          </w:p>
        </w:tc>
        <w:tc>
          <w:tcPr>
            <w:tcW w:type="dxa" w:w="1234"/>
          </w:tcPr>
          <w:p>
            <w:r>
              <w:t>UNECE WP.29 GRRF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https://unece.org/DAM/trans/doc/2017/wp29grrf/GRRF-84-18e.pdf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Status of the 1958 Agreement and annexed UN Regulations</w:t>
            </w:r>
          </w:p>
        </w:tc>
        <w:tc>
          <w:tcPr>
            <w:tcW w:type="dxa" w:w="1234"/>
          </w:tcPr>
          <w:p>
            <w:r>
              <w:t>UNECE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https://unece.org/status-1958-agreement-and-annexed-regulations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Decision of the Customs Union Commission No.877 (09.12.2011) adopting Technical Regulation TR CU 018/2011 "On</w:t>
            </w:r>
          </w:p>
        </w:tc>
        <w:tc>
          <w:tcPr>
            <w:tcW w:type="dxa" w:w="1234"/>
          </w:tcPr>
          <w:p>
            <w:r>
              <w:t>adilet.zan.kz — official legal database of the 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https://adilet.zan.kz/rus/docs/H11T0000877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EEC Board Decision No.232 (09.12.2014) rules for completing OTTS / OTSH forms</w:t>
            </w:r>
          </w:p>
        </w:tc>
        <w:tc>
          <w:tcPr>
            <w:tcW w:type="dxa" w:w="1234"/>
          </w:tcPr>
          <w:p>
            <w:r>
              <w:t>Alta-Soft legal reference (T3; reproduces EEC de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https://www.alta.ru/tamdoc/14kr0232/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approval systems (China stack official; EU/EAEU/UNECE described from secondary sources)</w:t>
      </w:r>
    </w:p>
    <w:p>
      <w:pPr>
        <w:pStyle w:val="ListBullet"/>
      </w:pPr>
      <w:r>
        <w:rPr>
          <w:b/>
        </w:rPr>
        <w:t>Verification method</w:t>
      </w:r>
      <w:r>
        <w:t>: Framework mapping with explicit primary-source gap flagged per PRIMARY_SOURCE_SCOPE rule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#CertificateOfConformity #TypeApproval #WVTA #ExportProcurement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