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Payment Methods in Chinese Vehicle Export — T/T, L/C, D/P, D/A, O/A Risk Controls</w:t>
      </w:r>
    </w:p>
    <w:p/>
    <w:p>
      <w:pPr>
        <w:pStyle w:val="Heading2"/>
      </w:pPr>
      <w:r>
        <w:t>SEO Metadata</w:t>
      </w:r>
    </w:p>
    <w:p>
      <w:pPr>
        <w:pStyle w:val="ListBullet"/>
      </w:pPr>
      <w:r>
        <w:rPr>
          <w:b/>
        </w:rPr>
        <w:t>SEO Title</w:t>
      </w:r>
      <w:r>
        <w:t>: Export Payment Methods for Chinese Cars: T/T, L/C, D/P, D/A, O/A Risk Guide</w:t>
      </w:r>
    </w:p>
    <w:p>
      <w:pPr>
        <w:pStyle w:val="ListBullet"/>
      </w:pPr>
      <w:r>
        <w:rPr>
          <w:b/>
        </w:rPr>
        <w:t>Meta Description</w:t>
      </w:r>
      <w:r>
        <w:t>: How a Chinese vehicle exporter should choose and safely use T/T, irrevocable L/C, D/P, D/A and open account, spot soft clauses and control bank and document risk.</w:t>
      </w:r>
    </w:p>
    <w:p>
      <w:pPr>
        <w:pStyle w:val="ListBullet"/>
      </w:pPr>
      <w:r>
        <w:rPr>
          <w:b/>
        </w:rPr>
        <w:t>H1</w:t>
      </w:r>
      <w:r>
        <w:t>: Payment Methods in Chinese Vehicle Export — T/T, L/C, D/P, D/A, O/A Risk Controls</w:t>
      </w:r>
    </w:p>
    <w:p>
      <w:pPr>
        <w:pStyle w:val="ListBullet"/>
      </w:pPr>
      <w:r>
        <w:rPr>
          <w:b/>
        </w:rPr>
        <w:t>Primary Keyword</w:t>
      </w:r>
      <w:r>
        <w:t>: export payment methods t t lc risk</w:t>
      </w:r>
    </w:p>
    <w:p>
      <w:pPr>
        <w:pStyle w:val="ListBullet"/>
      </w:pPr>
      <w:r>
        <w:rPr>
          <w:b/>
        </w:rPr>
        <w:t>Secondary Search Terms</w:t>
      </w:r>
      <w:r>
        <w:t>: export payment terms; irrevocable L/C; T/T deposit; documentary collection; open account risk; UCP600</w:t>
      </w:r>
    </w:p>
    <w:p>
      <w:pPr>
        <w:pStyle w:val="ListBullet"/>
      </w:pPr>
      <w:r>
        <w:rPr>
          <w:b/>
        </w:rPr>
        <w:t>Suggested URL</w:t>
      </w:r>
      <w:r>
        <w:t>: /guides/export-payment-methods-t-t-lc-risk/</w:t>
      </w:r>
    </w:p>
    <w:p>
      <w:pPr>
        <w:pStyle w:val="ListBullet"/>
      </w:pPr>
      <w:r>
        <w:rPr>
          <w:b/>
        </w:rPr>
        <w:t>Search Intent</w:t>
      </w:r>
      <w:r>
        <w:t>: 出口商如何在汽车订单中选择并安全使用电汇/信用证等结算方式、识别软条款与银行风险</w:t>
      </w:r>
    </w:p>
    <w:p>
      <w:pPr>
        <w:pStyle w:val="ListBullet"/>
      </w:pPr>
      <w:r>
        <w:rPr>
          <w:b/>
        </w:rPr>
        <w:t>Internal Link Suggestions</w:t>
      </w:r>
      <w:r>
        <w:t>: /guides/incoterms-2020-selection-guide/, /guides/verify-chinese-car-export-supplier-history/, /guides/export-fx-settlement-trade-fx-registration/</w:t>
      </w:r>
    </w:p>
    <w:p>
      <w:pPr>
        <w:pStyle w:val="ListBullet"/>
      </w:pPr>
      <w:r>
        <w:rPr>
          <w:b/>
        </w:rPr>
        <w:t>Schema Scope</w:t>
      </w:r>
      <w:r>
        <w:t>: Article (no Product/Offer/Review)</w:t>
      </w:r>
    </w:p>
    <w:p/>
    <w:p>
      <w:pPr>
        <w:pStyle w:val="Heading2"/>
      </w:pPr>
      <w:r>
        <w:t>Why payment structure decides whether a vehicle deal is safe</w:t>
      </w:r>
    </w:p>
    <w:p>
      <w:r>
        <w:t>For a Chinese vehicle exporter the payment method is a risk-allocation tool, not an administrative detail. Vehicles are high-value, often built to order, and may need homologation or conversion before shipment, so the gap between production, loading and payment is where losses happen. This guide explains the five common settlement routes and the checks that belong before, not after, contract signature. It is an international settlement framework, not the banking rule of any single country.</w:t>
      </w:r>
    </w:p>
    <w:p/>
    <w:p>
      <w:pPr>
        <w:pStyle w:val="Heading2"/>
      </w:pPr>
      <w:r>
        <w:t>How the five instruments actually shift risk</w:t>
      </w:r>
    </w:p>
    <w:p>
      <w:pPr>
        <w:pStyle w:val="ListBullet"/>
      </w:pPr>
      <w:r>
        <w:rPr>
          <w:b/>
        </w:rPr>
        <w:t>T/T (telegraphic transfer)</w:t>
      </w:r>
      <w:r>
        <w:t xml:space="preserve"> is a direct remittance. In vehicle trade it is normally split into a deposit before production and a balance against a copy/telex-release of the bill of lading. The deposit protects the exporter against cancellation on a built-to-order unit; the balance timing protects the buyer from paying for an unshipped car.</w:t>
      </w:r>
    </w:p>
    <w:p>
      <w:pPr>
        <w:pStyle w:val="ListBullet"/>
      </w:pPr>
      <w:r>
        <w:rPr>
          <w:b/>
        </w:rPr>
        <w:t>L/C (letter of credit)</w:t>
      </w:r>
      <w:r>
        <w:t xml:space="preserve"> substitutes bank credit for buyer credit. Under UCP600 a credit is presumed irrevocable unless it expressly says otherwise, and payment turns on </w:t>
      </w:r>
      <w:r>
        <w:rPr>
          <w:b/>
        </w:rPr>
        <w:t>complying presentation</w:t>
      </w:r>
      <w:r>
        <w:t xml:space="preserve"> — documents that match the credit's terms on their face.</w:t>
      </w:r>
    </w:p>
    <w:p>
      <w:pPr>
        <w:pStyle w:val="ListBullet"/>
      </w:pPr>
      <w:r>
        <w:rPr>
          <w:b/>
        </w:rPr>
        <w:t>D/P (documents against payment)</w:t>
      </w:r>
      <w:r>
        <w:t xml:space="preserve"> and </w:t>
      </w:r>
      <w:r>
        <w:rPr>
          <w:b/>
        </w:rPr>
        <w:t>D/A (documents against acceptance)</w:t>
      </w:r>
      <w:r>
        <w:t xml:space="preserve"> are documentary collections through banks; the banks handle documents but do </w:t>
      </w:r>
      <w:r>
        <w:rPr>
          <w:b/>
        </w:rPr>
        <w:t>not</w:t>
      </w:r>
      <w:r>
        <w:t xml:space="preserve"> give an L/C-style payment undertaking. Under D/A the buyer takes the goods on a promise to pay later, which is close to open-account risk.</w:t>
      </w:r>
    </w:p>
    <w:p>
      <w:pPr>
        <w:pStyle w:val="ListBullet"/>
      </w:pPr>
      <w:r>
        <w:rPr>
          <w:b/>
        </w:rPr>
        <w:t>O/A (open account)</w:t>
      </w:r>
      <w:r>
        <w:t xml:space="preserve"> means the buyer pays after receiving the goods; it is the most favourable to the buyer and the highest exposure for the exporter.</w:t>
      </w:r>
    </w:p>
    <w:p/>
    <w:p>
      <w:pPr>
        <w:pStyle w:val="Heading2"/>
      </w:pPr>
      <w:r>
        <w:t>Reading an L/C for soft clauses before you accept it</w:t>
      </w:r>
    </w:p>
    <w:p>
      <w:r>
        <w:t>An irrevocable L/C is only as safe as its terms. Watch for conditions that put payment under the buyer's or a third party's control: a certificate signed by the applicant, an inspection/acceptance document only the buyer can issue, a shipment date or port you cannot meet, a vessel/route restriction, or documents the issuing bank will not clearly accept. Because payment depends on a facially complying presentation, any clause that lets the applicant block the documents is a negotiation point to remove or neutralise before the credit is confirmed.</w:t>
      </w:r>
    </w:p>
    <w:p/>
    <w:p>
      <w:pPr>
        <w:pStyle w:val="Heading2"/>
      </w:pPr>
      <w:r>
        <w:t>A practical decision order for vehicle orders</w:t>
      </w:r>
    </w:p>
    <w:p>
      <w:pPr>
        <w:pStyle w:val="ListNumber"/>
      </w:pPr>
      <w:r>
        <w:t>Match the instrument to trust and order type: deposit + balance T/T for a known repeat buyer; L/C for a large first order or unfamiliar market; avoid D/A and O/A unless credit insurance or strong security exists.</w:t>
      </w:r>
    </w:p>
    <w:p>
      <w:pPr>
        <w:pStyle w:val="ListNumber"/>
      </w:pPr>
      <w:r>
        <w:t>On an L/C, read every required document against what you can actually produce and the timeline (production, booking, inspection, B/L).</w:t>
      </w:r>
    </w:p>
    <w:p>
      <w:pPr>
        <w:pStyle w:val="ListNumber"/>
      </w:pPr>
      <w:r>
        <w:t>Reconcile the L/C with the proforma and Incoterm so document names, unit description, latest shipment and expiry are achievable.</w:t>
      </w:r>
    </w:p>
    <w:p>
      <w:pPr>
        <w:pStyle w:val="ListNumber"/>
      </w:pPr>
      <w:r>
        <w:t>Keep bank fees and confirmation costs out of assumed numbers — they vary by bank and are time-sensitive; obtain them from the nominated bank.</w:t>
      </w:r>
    </w:p>
    <w:p>
      <w:pPr>
        <w:pStyle w:val="ListNumber"/>
      </w:pPr>
      <w:r>
        <w:t>Coordinate with FX settlement rules (see the trade-FX guide) so receipt and verification are consistent.</w:t>
      </w:r>
    </w:p>
    <w:p/>
    <w:p>
      <w:pPr>
        <w:pStyle w:val="Heading2"/>
      </w:pPr>
      <w:r>
        <w:t>Risks that no payment term removes</w:t>
      </w:r>
    </w:p>
    <w:p>
      <w:r>
        <w:t>Even a clean L/C does not cure sanctions exposure on the buyer/bank, an incorrect HS classification, or a destination that cannot import the unit. Payment security and regulatory compliance are separate gates. This guide does not rank countries' banks and does not quote bank charges, both of which must be obtained case by case.</w:t>
      </w:r>
    </w:p>
    <w:p/>
    <w:p>
      <w:pPr>
        <w:pStyle w:val="Heading2"/>
      </w:pPr>
      <w:r>
        <w:t>FAQ</w:t>
      </w:r>
    </w:p>
    <w:p>
      <w:r>
        <w:rPr>
          <w:b/>
        </w:rPr>
        <w:t>Is an irrevocable L/C a payment guarantee?</w:t>
      </w:r>
      <w:r>
        <w:t xml:space="preserve"> It is a bank undertaking conditional on a complying presentation; soft clauses can still delay or block payment.</w:t>
      </w:r>
    </w:p>
    <w:p>
      <w:r>
        <w:rPr>
          <w:b/>
        </w:rPr>
        <w:t>What is a safe T/T split?</w:t>
      </w:r>
      <w:r>
        <w:t xml:space="preserve"> A production deposit plus balance against shipping evidence; the exact percentages are a commercial decision, not a fixed rule.</w:t>
      </w:r>
    </w:p>
    <w:p>
      <w:r>
        <w:rPr>
          <w:b/>
        </w:rPr>
        <w:t>D/P versus D/A?</w:t>
      </w:r>
      <w:r>
        <w:t xml:space="preserve"> Under D/P the buyer pays to obtain documents; under D/A it accepts and pays later — much higher exporter risk.</w:t>
      </w:r>
    </w:p>
    <w:p>
      <w:r>
        <w:rPr>
          <w:b/>
        </w:rPr>
        <w:t>Should I accept O/A for a first buyer?</w:t>
      </w:r>
      <w:r>
        <w:t xml:space="preserve"> Generally not without credit insurance, security or an established relationship.</w:t>
      </w:r>
    </w:p>
    <w:p>
      <w:r>
        <w:rPr>
          <w:b/>
        </w:rPr>
        <w:t>Does UCP600 override my contract?</w:t>
      </w:r>
      <w:r>
        <w:t xml:space="preserve"> No — UCP600 governs the credit when incorporated; the sales contract and Incoterm still set the deal.</w:t>
      </w:r>
    </w:p>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跨境收款：信用证法律逻辑与风险防线（二）</w:t>
            </w:r>
          </w:p>
        </w:tc>
        <w:tc>
          <w:tcPr>
            <w:tcW w:type="dxa" w:w="1234"/>
          </w:tcPr>
          <w:p>
            <w:r>
              <w:t>东莞市人民政府（转国际经贸业务）</w:t>
            </w:r>
          </w:p>
        </w:tc>
        <w:tc>
          <w:tcPr>
            <w:tcW w:type="dxa" w:w="1234"/>
          </w:tcPr>
          <w:p>
            <w:r>
              <w:t>CN</w:t>
            </w:r>
          </w:p>
        </w:tc>
        <w:tc>
          <w:tcPr>
            <w:tcW w:type="dxa" w:w="1234"/>
          </w:tcPr>
          <w:p>
            <w:r>
              <w:t>T1</w:t>
            </w:r>
          </w:p>
        </w:tc>
        <w:tc>
          <w:tcPr>
            <w:tcW w:type="dxa" w:w="1234"/>
          </w:tcPr>
          <w:p>
            <w:r>
              <w:t>VERIFIED</w:t>
            </w:r>
          </w:p>
        </w:tc>
        <w:tc>
          <w:tcPr>
            <w:tcW w:type="dxa" w:w="1234"/>
          </w:tcPr>
          <w:p>
            <w:r>
              <w:t>https://www.dg.gov.cn/zwgk/zfxxgkml/smch/qt/gjmyyj/content/post_4407585.html</w:t>
            </w:r>
          </w:p>
        </w:tc>
        <w:tc>
          <w:tcPr>
            <w:tcW w:type="dxa" w:w="1234"/>
          </w:tcPr>
          <w:p>
            <w:r>
              <w:t>UCP600不可撤销, 信用证分类与风险</w:t>
            </w:r>
          </w:p>
        </w:tc>
      </w:tr>
      <w:tr>
        <w:tc>
          <w:tcPr>
            <w:tcW w:type="dxa" w:w="1234"/>
          </w:tcPr>
          <w:p>
            <w:r>
              <w:t>信用证核心特点（UCP600第二条定义）</w:t>
            </w:r>
          </w:p>
        </w:tc>
        <w:tc>
          <w:tcPr>
            <w:tcW w:type="dxa" w:w="1234"/>
          </w:tcPr>
          <w:p>
            <w:r>
              <w:t>东莞市贸促会（CCPIT）</w:t>
            </w:r>
          </w:p>
        </w:tc>
        <w:tc>
          <w:tcPr>
            <w:tcW w:type="dxa" w:w="1234"/>
          </w:tcPr>
          <w:p>
            <w:r>
              <w:t>CN</w:t>
            </w:r>
          </w:p>
        </w:tc>
        <w:tc>
          <w:tcPr>
            <w:tcW w:type="dxa" w:w="1234"/>
          </w:tcPr>
          <w:p>
            <w:r>
              <w:t>T1</w:t>
            </w:r>
          </w:p>
        </w:tc>
        <w:tc>
          <w:tcPr>
            <w:tcW w:type="dxa" w:w="1234"/>
          </w:tcPr>
          <w:p>
            <w:r>
              <w:t>VERIFIED</w:t>
            </w:r>
          </w:p>
        </w:tc>
        <w:tc>
          <w:tcPr>
            <w:tcW w:type="dxa" w:w="1234"/>
          </w:tcPr>
          <w:p>
            <w:r>
              <w:t>https://www.dg.gov.cn/ccpit/hd/ywzsk/gjjmyj/content/post_4405133.html</w:t>
            </w:r>
          </w:p>
        </w:tc>
        <w:tc>
          <w:tcPr>
            <w:tcW w:type="dxa" w:w="1234"/>
          </w:tcPr>
          <w:p>
            <w:r>
              <w:t>信用证定义, 银行信用, 相符交单</w:t>
            </w:r>
          </w:p>
        </w:tc>
      </w:tr>
      <w:tr>
        <w:tc>
          <w:tcPr>
            <w:tcW w:type="dxa" w:w="1234"/>
          </w:tcPr>
          <w:p>
            <w:r>
              <w:t>国际贸易单证业务（教材，流程佐证）</w:t>
            </w:r>
          </w:p>
        </w:tc>
        <w:tc>
          <w:tcPr>
            <w:tcW w:type="dxa" w:w="1234"/>
          </w:tcPr>
          <w:p>
            <w:r>
              <w:t>清华大学出版社</w:t>
            </w:r>
          </w:p>
        </w:tc>
        <w:tc>
          <w:tcPr>
            <w:tcW w:type="dxa" w:w="1234"/>
          </w:tcPr>
          <w:p>
            <w:r>
              <w:t>CN</w:t>
            </w:r>
          </w:p>
        </w:tc>
        <w:tc>
          <w:tcPr>
            <w:tcW w:type="dxa" w:w="1234"/>
          </w:tcPr>
          <w:p>
            <w:r>
              <w:t>T3</w:t>
            </w:r>
          </w:p>
        </w:tc>
        <w:tc>
          <w:tcPr>
            <w:tcW w:type="dxa" w:w="1234"/>
          </w:tcPr>
          <w:p>
            <w:r>
              <w:t>CROSS_CHECKED</w:t>
            </w:r>
          </w:p>
        </w:tc>
        <w:tc>
          <w:tcPr>
            <w:tcW w:type="dxa" w:w="1234"/>
          </w:tcPr>
          <w:p>
            <w:r>
              <w:t>http://www.tup.tsinghua.edu.cn/upload/books/yz/037271-01.pdf</w:t>
            </w:r>
          </w:p>
        </w:tc>
        <w:tc>
          <w:tcPr>
            <w:tcW w:type="dxa" w:w="1234"/>
          </w:tcPr>
          <w:p>
            <w:r>
              <w:t>单证相符, 审单流程</w:t>
            </w:r>
          </w:p>
        </w:tc>
      </w:tr>
      <w:tr>
        <w:tc>
          <w:tcPr>
            <w:tcW w:type="dxa" w:w="1234"/>
          </w:tcPr>
          <w:p>
            <w:r>
              <w:t>International Chamber of Commerce (ICC)</w:t>
            </w:r>
          </w:p>
        </w:tc>
        <w:tc>
          <w:tcPr>
            <w:tcW w:type="dxa" w:w="1234"/>
          </w:tcPr>
          <w:p>
            <w:r>
              <w:t>International Chamber of Commerce</w:t>
            </w:r>
          </w:p>
        </w:tc>
        <w:tc>
          <w:tcPr>
            <w:tcW w:type="dxa" w:w="1234"/>
          </w:tcPr>
          <w:p>
            <w:r>
              <w:t>CN</w:t>
            </w:r>
          </w:p>
        </w:tc>
        <w:tc>
          <w:tcPr>
            <w:tcW w:type="dxa" w:w="1234"/>
          </w:tcPr>
          <w:p>
            <w:r>
              <w:t>T1</w:t>
            </w:r>
          </w:p>
        </w:tc>
        <w:tc>
          <w:tcPr>
            <w:tcW w:type="dxa" w:w="1234"/>
          </w:tcPr>
          <w:p>
            <w:r>
              <w:t>VERIFIED</w:t>
            </w:r>
          </w:p>
        </w:tc>
        <w:tc>
          <w:tcPr>
            <w:tcW w:type="dxa" w:w="1234"/>
          </w:tcPr>
          <w:p>
            <w:r>
              <w:t>https://iccwbo.org/</w:t>
            </w:r>
          </w:p>
        </w:tc>
        <w:tc>
          <w:tcPr>
            <w:tcW w:type="dxa" w:w="1234"/>
          </w:tcPr>
          <w:p>
            <w:r>
              <w:t>publisher of UCP600 and Incoterms rules; authoritative trade-finance framework</w:t>
            </w:r>
          </w:p>
        </w:tc>
      </w:tr>
      <w:tr>
        <w:tc>
          <w:tcPr>
            <w:tcW w:type="dxa" w:w="1234"/>
          </w:tcPr>
          <w:p>
            <w:r>
              <w:t>China Export &amp; Credit Insurance (SINOSURE) — short-term export credit insurance</w:t>
            </w:r>
          </w:p>
        </w:tc>
        <w:tc>
          <w:tcPr>
            <w:tcW w:type="dxa" w:w="1234"/>
          </w:tcPr>
          <w:p>
            <w:r>
              <w:t>China Export &amp; Credit Insurance Corporation (SINOSURE 中国信保)</w:t>
            </w:r>
          </w:p>
        </w:tc>
        <w:tc>
          <w:tcPr>
            <w:tcW w:type="dxa" w:w="1234"/>
          </w:tcPr>
          <w:p>
            <w:r>
              <w:t>INT/CN</w:t>
            </w:r>
          </w:p>
        </w:tc>
        <w:tc>
          <w:tcPr>
            <w:tcW w:type="dxa" w:w="1234"/>
          </w:tcPr>
          <w:p>
            <w:r>
              <w:t>T1/T2</w:t>
            </w:r>
          </w:p>
        </w:tc>
        <w:tc>
          <w:tcPr>
            <w:tcW w:type="dxa" w:w="1234"/>
          </w:tcPr>
          <w:p>
            <w:r>
              <w:t>VERIFIED</w:t>
            </w:r>
          </w:p>
        </w:tc>
        <w:tc>
          <w:tcPr>
            <w:tcW w:type="dxa" w:w="1234"/>
          </w:tcPr>
          <w:p>
            <w:r>
              <w:t>https://www.sinosure.com.cn/</w:t>
            </w:r>
          </w:p>
        </w:tc>
        <w:tc>
          <w:tcPr>
            <w:tcW w:type="dxa" w:w="1234"/>
          </w:tcPr>
          <w:p>
            <w:r>
              <w:t>Open-account (O/A) and documentary-collection (D/P) receivable risk is insurable; export credit insurance context for payment-term choice</w:t>
            </w:r>
          </w:p>
        </w:tc>
      </w:tr>
      <w:tr>
        <w:tc>
          <w:tcPr>
            <w:tcW w:type="dxa" w:w="1234"/>
          </w:tcPr>
          <w:p>
            <w:r>
              <w:t>China Council for the Promotion of International Trade (CCPIT)</w:t>
            </w:r>
          </w:p>
        </w:tc>
        <w:tc>
          <w:tcPr>
            <w:tcW w:type="dxa" w:w="1234"/>
          </w:tcPr>
          <w:p>
            <w:r>
              <w:t>China Council for the Promotion of International Trade (CCPIT 中国贸促会)</w:t>
            </w:r>
          </w:p>
        </w:tc>
        <w:tc>
          <w:tcPr>
            <w:tcW w:type="dxa" w:w="1234"/>
          </w:tcPr>
          <w:p>
            <w:r>
              <w:t>CN</w:t>
            </w:r>
          </w:p>
        </w:tc>
        <w:tc>
          <w:tcPr>
            <w:tcW w:type="dxa" w:w="1234"/>
          </w:tcPr>
          <w:p>
            <w:r>
              <w:t>T1/T2</w:t>
            </w:r>
          </w:p>
        </w:tc>
        <w:tc>
          <w:tcPr>
            <w:tcW w:type="dxa" w:w="1234"/>
          </w:tcPr>
          <w:p>
            <w:r>
              <w:t>VERIFIED</w:t>
            </w:r>
          </w:p>
        </w:tc>
        <w:tc>
          <w:tcPr>
            <w:tcW w:type="dxa" w:w="1234"/>
          </w:tcPr>
          <w:p>
            <w:r>
              <w:t>https://www.ccpit.org/</w:t>
            </w:r>
          </w:p>
        </w:tc>
        <w:tc>
          <w:tcPr>
            <w:tcW w:type="dxa" w:w="1234"/>
          </w:tcPr>
          <w:p>
            <w:r>
              <w:t>National trade-promotion body: L/C and trade-document guidance and certification; distinct from local government reproductions</w:t>
            </w:r>
          </w:p>
        </w:tc>
      </w:tr>
      <w:tr>
        <w:tc>
          <w:tcPr>
            <w:tcW w:type="dxa" w:w="1234"/>
          </w:tcPr>
          <w:p>
            <w:r>
              <w:t>ICC Trade Finance solutions (UCP 600 / URC 522 / URDG rule owner)</w:t>
            </w:r>
          </w:p>
        </w:tc>
        <w:tc>
          <w:tcPr>
            <w:tcW w:type="dxa" w:w="1234"/>
          </w:tcPr>
          <w:p>
            <w:r>
              <w:t>International Chamber of Commerce</w:t>
            </w:r>
          </w:p>
        </w:tc>
        <w:tc>
          <w:tcPr>
            <w:tcW w:type="dxa" w:w="1234"/>
          </w:tcPr>
          <w:p>
            <w:r>
              <w:t>INT</w:t>
            </w:r>
          </w:p>
        </w:tc>
        <w:tc>
          <w:tcPr>
            <w:tcW w:type="dxa" w:w="1234"/>
          </w:tcPr>
          <w:p>
            <w:r>
              <w:t>T1/T2</w:t>
            </w:r>
          </w:p>
        </w:tc>
        <w:tc>
          <w:tcPr>
            <w:tcW w:type="dxa" w:w="1234"/>
          </w:tcPr>
          <w:p>
            <w:r>
              <w:t>VERIFIED</w:t>
            </w:r>
          </w:p>
        </w:tc>
        <w:tc>
          <w:tcPr>
            <w:tcW w:type="dxa" w:w="1234"/>
          </w:tcPr>
          <w:p>
            <w:r>
              <w:t>https://iccwbo.org/business-solutions/trade-finance/</w:t>
            </w:r>
          </w:p>
        </w:tc>
        <w:tc>
          <w:tcPr>
            <w:tcW w:type="dxa" w:w="1234"/>
          </w:tcPr>
          <w:p>
            <w:r>
              <w:t>ICC is the rule-setter for L/C (UCP 600), collections (URC 522) and guarantees (URDG); deep page beyond homepage</w:t>
            </w:r>
          </w:p>
        </w:tc>
      </w:tr>
    </w:tbl>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2026-09-05</w:t>
      </w:r>
    </w:p>
    <w:p>
      <w:pPr>
        <w:pStyle w:val="ListBullet"/>
      </w:pPr>
      <w:r>
        <w:rPr>
          <w:b/>
        </w:rPr>
        <w:t>Reference market</w:t>
      </w:r>
      <w:r>
        <w:t>: 通用（国际结算框架，非单一国家法规）</w:t>
      </w:r>
    </w:p>
    <w:p>
      <w:pPr>
        <w:pStyle w:val="ListBullet"/>
      </w:pPr>
      <w:r>
        <w:rPr>
          <w:b/>
        </w:rPr>
        <w:t>Verification method</w:t>
      </w:r>
      <w:r>
        <w:t>: Desk research against the sources below; Chinese-market reference specification only unless a separate export market is explicitly cited.</w:t>
      </w:r>
    </w:p>
    <w:p>
      <w:pPr>
        <w:pStyle w:val="ListBullet"/>
      </w:pPr>
      <w:r>
        <w:rPr>
          <w:b/>
        </w:rPr>
        <w:t>Transparency</w:t>
      </w:r>
      <w:r>
        <w:t>: AI-assisted drafting was used. This article is based on desk research and automated QA. No first-hand testing is claimed unless explicitly documented; confirm time-sensitive and destination-specific requirements before transacting.</w:t>
      </w:r>
    </w:p>
    <w:p/>
    <w:p>
      <w:pPr>
        <w:pStyle w:val="Heading2"/>
      </w:pPr>
      <w:r>
        <w:t>Image Record</w:t>
      </w:r>
    </w:p>
    <w:p>
      <w:pPr>
        <w:pStyle w:val="ListBullet"/>
      </w:pPr>
      <w:r>
        <w:rPr>
          <w:b/>
        </w:rPr>
        <w:t>IMAGE_ASSET_PATH</w:t>
      </w:r>
      <w:r>
        <w:t>: none secured in repository</w:t>
      </w:r>
    </w:p>
    <w:p>
      <w:pPr>
        <w:pStyle w:val="ListBullet"/>
      </w:pPr>
      <w:r>
        <w:rPr>
          <w:b/>
        </w:rPr>
        <w:t>ORIGINAL_IMAGE_URL</w:t>
      </w:r>
      <w:r>
        <w:t>: not captured</w:t>
      </w:r>
    </w:p>
    <w:p>
      <w:pPr>
        <w:pStyle w:val="ListBullet"/>
      </w:pPr>
      <w:r>
        <w:rPr>
          <w:b/>
        </w:rPr>
        <w:t>SOURCE_PAGE</w:t>
      </w:r>
      <w:r>
        <w:t>: not captured</w:t>
      </w:r>
    </w:p>
    <w:p>
      <w:pPr>
        <w:pStyle w:val="ListBullet"/>
      </w:pPr>
      <w:r>
        <w:rPr>
          <w:b/>
        </w:rPr>
        <w:t>SOURCE_FILE_PAGE</w:t>
      </w:r>
      <w:r>
        <w:t>: not applicable — no candidate media file identified (no licence to assert)</w:t>
      </w:r>
    </w:p>
    <w:p>
      <w:pPr>
        <w:pStyle w:val="ListBullet"/>
      </w:pPr>
      <w:r>
        <w:rPr>
          <w:b/>
        </w:rPr>
        <w:t>RIGHTS_HOLDER</w:t>
      </w:r>
      <w:r>
        <w:t>: unconfirmed</w:t>
      </w:r>
    </w:p>
    <w:p>
      <w:pPr>
        <w:pStyle w:val="ListBullet"/>
      </w:pPr>
      <w:r>
        <w:rPr>
          <w:b/>
        </w:rPr>
        <w:t>LICENSE_OR_USAGE_BASIS</w:t>
      </w:r>
      <w:r>
        <w:t>: none secured — OEM webpage presence is not a commercial reuse licence</w:t>
      </w:r>
    </w:p>
    <w:p>
      <w:pPr>
        <w:pStyle w:val="ListBullet"/>
      </w:pPr>
      <w:r>
        <w:rPr>
          <w:b/>
        </w:rPr>
        <w:t>CHECKED_DATE</w:t>
      </w:r>
      <w:r>
        <w:t>: 2026-09-06</w:t>
      </w:r>
    </w:p>
    <w:p>
      <w:pPr>
        <w:pStyle w:val="ListBullet"/>
      </w:pPr>
      <w:r>
        <w:rPr>
          <w:b/>
        </w:rPr>
        <w:t>MODEL_TOPIC_MATCH</w:t>
      </w:r>
      <w:r>
        <w:t>: exact Payment Methods in Chinese Vehicle Export</w:t>
      </w:r>
    </w:p>
    <w:p>
      <w:pPr>
        <w:pStyle w:val="ListBullet"/>
      </w:pPr>
      <w:r>
        <w:rPr>
          <w:b/>
        </w:rPr>
        <w:t>IMAGE_SCOPE_NOTE</w:t>
      </w:r>
      <w:r>
        <w:t>: image must match the exact model family/topic only; must not imply a specific trim, model year, real VIN, in-person inspection or an actual transaction</w:t>
      </w:r>
    </w:p>
    <w:p>
      <w:pPr>
        <w:pStyle w:val="ListBullet"/>
      </w:pPr>
      <w:r>
        <w:rPr>
          <w:b/>
        </w:rPr>
        <w:t>IMAGE_RIGHTS_STATUS</w:t>
      </w:r>
      <w:r>
        <w:t>: FAIL</w:t>
      </w:r>
    </w:p>
    <w:p>
      <w:pPr>
        <w:pStyle w:val="ListBullet"/>
      </w:pPr>
      <w:r>
        <w:rPr>
          <w:b/>
        </w:rPr>
        <w:t>BLOCK_REASON</w:t>
      </w:r>
      <w:r>
        <w:t>: No reusable image could be secured: Wikimedia Commons/Flickr are unreachable from the research environment, stock libraries require authenticated API/licence access, and an OEM webpage image is NOT a commercial reuse grant. No AutoBridge-owned photo exists. Record kept FAIL rather than asserted.</w:t>
      </w:r>
    </w:p>
    <w:p>
      <w:pPr>
        <w:pStyle w:val="ListBullet"/>
      </w:pPr>
      <w:r>
        <w:rPr>
          <w:b/>
        </w:rPr>
        <w:t>ALT (12 languages)</w:t>
      </w:r>
      <w:r>
        <w:t>:</w:t>
      </w:r>
    </w:p>
    <w:p>
      <w:pPr>
        <w:pStyle w:val="ListBullet"/>
      </w:pPr>
      <w:r>
        <w:rPr>
          <w:b/>
        </w:rPr>
        <w:t>EN</w:t>
      </w:r>
      <w:r>
        <w:t>: export payment methods, Chinese-market procurement guide export buyer reference</w:t>
      </w:r>
    </w:p>
    <w:p>
      <w:pPr>
        <w:pStyle w:val="ListBullet"/>
      </w:pPr>
      <w:r>
        <w:rPr>
          <w:b/>
        </w:rPr>
        <w:t>FR</w:t>
      </w:r>
      <w:r>
        <w:t>: export payment methods, procurement guide du marché chinois, référence acheteur export</w:t>
      </w:r>
    </w:p>
    <w:p>
      <w:pPr>
        <w:pStyle w:val="ListBullet"/>
      </w:pPr>
      <w:r>
        <w:rPr>
          <w:b/>
        </w:rPr>
        <w:t>DE</w:t>
      </w:r>
      <w:r>
        <w:t>: export payment methods, Chinesischer procurement guide, Referenz für Exportkäufer</w:t>
      </w:r>
    </w:p>
    <w:p>
      <w:pPr>
        <w:pStyle w:val="ListBullet"/>
      </w:pPr>
      <w:r>
        <w:rPr>
          <w:b/>
        </w:rPr>
        <w:t>ES</w:t>
      </w:r>
      <w:r>
        <w:t>: export payment methods, procurement guide del mercado chino, referencia para comprador de exportación</w:t>
      </w:r>
    </w:p>
    <w:p>
      <w:pPr>
        <w:pStyle w:val="ListBullet"/>
      </w:pPr>
      <w:r>
        <w:rPr>
          <w:b/>
        </w:rPr>
        <w:t>PT</w:t>
      </w:r>
      <w:r>
        <w:t>: export payment methods, procurement guide do mercado chinês, referência ao comprador de exportação</w:t>
      </w:r>
    </w:p>
    <w:p>
      <w:pPr>
        <w:pStyle w:val="ListBullet"/>
      </w:pPr>
      <w:r>
        <w:rPr>
          <w:b/>
        </w:rPr>
        <w:t>JA</w:t>
      </w:r>
      <w:r>
        <w:t>: export payment methods, 中国市場procurement guide・輸出バイヤー向けリファレンス</w:t>
      </w:r>
    </w:p>
    <w:p>
      <w:pPr>
        <w:pStyle w:val="ListBullet"/>
      </w:pPr>
      <w:r>
        <w:rPr>
          <w:b/>
        </w:rPr>
        <w:t>KO</w:t>
      </w:r>
      <w:r>
        <w:t>: export payment methods, 중국 시장 procurement guide, 수출 바이어 참고 자료</w:t>
      </w:r>
    </w:p>
    <w:p>
      <w:pPr>
        <w:pStyle w:val="ListBullet"/>
      </w:pPr>
      <w:r>
        <w:rPr>
          <w:b/>
        </w:rPr>
        <w:t>VI</w:t>
      </w:r>
      <w:r>
        <w:t>: export payment methods, procurement guide thị trường Trung Quốc, tham chiếu cho người mua xuất khẩu</w:t>
      </w:r>
    </w:p>
    <w:p>
      <w:pPr>
        <w:pStyle w:val="ListBullet"/>
      </w:pPr>
      <w:r>
        <w:rPr>
          <w:b/>
        </w:rPr>
        <w:t>TH</w:t>
      </w:r>
      <w:r>
        <w:t>: export payment methods, procurement guide ตลาดจีน เอกสารอ้างอิงสำหรับผู้ซื้อส่งออก</w:t>
      </w:r>
    </w:p>
    <w:p>
      <w:pPr>
        <w:pStyle w:val="ListBullet"/>
      </w:pPr>
      <w:r>
        <w:rPr>
          <w:b/>
        </w:rPr>
        <w:t>ID</w:t>
      </w:r>
      <w:r>
        <w:t>: export payment methods, procurement guide pasar Tiongkok, referensi pembeli ekspor</w:t>
      </w:r>
    </w:p>
    <w:p>
      <w:pPr>
        <w:pStyle w:val="ListBullet"/>
      </w:pPr>
      <w:r>
        <w:rPr>
          <w:b/>
        </w:rPr>
        <w:t>AR</w:t>
      </w:r>
      <w:r>
        <w:t>: export payment methods, procurement guide السوق الصيني، مرجع لمشتري التصدير</w:t>
      </w:r>
    </w:p>
    <w:p>
      <w:pPr>
        <w:pStyle w:val="ListBullet"/>
      </w:pPr>
      <w:r>
        <w:rPr>
          <w:b/>
        </w:rPr>
        <w:t>ZH</w:t>
      </w:r>
      <w:r>
        <w:t>: export payment methods, 中国市场procurement guide·出口采购参考</w:t>
      </w:r>
    </w:p>
    <w:p/>
    <w:p/>
    <w:p>
      <w:r>
        <w:t>#AutoBridge #ChinaCarExport #ExportProcurement #TradeFinance #ExportPayment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