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Export FX Settlement and Trade-FX Administration for Vehicle Exporters</w:t>
      </w:r>
    </w:p>
    <w:p/>
    <w:p>
      <w:pPr>
        <w:pStyle w:val="Heading2"/>
      </w:pPr>
      <w:r>
        <w:t>SEO Metadata</w:t>
      </w:r>
    </w:p>
    <w:p>
      <w:pPr>
        <w:pStyle w:val="ListBullet"/>
      </w:pPr>
      <w:r>
        <w:rPr>
          <w:b/>
        </w:rPr>
        <w:t>SEO Title</w:t>
      </w:r>
      <w:r>
        <w:t>: China Export FX Settlement: Trade-FX Registration, Conversion and Aggregate Check</w:t>
      </w:r>
    </w:p>
    <w:p>
      <w:pPr>
        <w:pStyle w:val="ListBullet"/>
      </w:pPr>
      <w:r>
        <w:rPr>
          <w:b/>
        </w:rPr>
        <w:t>Meta Description</w:t>
      </w:r>
      <w:r>
        <w:t>: How a Chinese vehicle exporter handles export receipts: directory registration at a bank before the first transaction, settlement/conversion, and SAFE aggregate verification of goods-flow versus funds-flow.</w:t>
      </w:r>
    </w:p>
    <w:p>
      <w:pPr>
        <w:pStyle w:val="ListBullet"/>
      </w:pPr>
      <w:r>
        <w:rPr>
          <w:b/>
        </w:rPr>
        <w:t>H1</w:t>
      </w:r>
      <w:r>
        <w:t>: Export FX Settlement and Trade-FX Administration for Vehicle Exporters</w:t>
      </w:r>
    </w:p>
    <w:p>
      <w:pPr>
        <w:pStyle w:val="ListBullet"/>
      </w:pPr>
      <w:r>
        <w:rPr>
          <w:b/>
        </w:rPr>
        <w:t>Primary Keyword</w:t>
      </w:r>
      <w:r>
        <w:t>: export fx settlement trade fx registration</w:t>
      </w:r>
    </w:p>
    <w:p>
      <w:pPr>
        <w:pStyle w:val="ListBullet"/>
      </w:pPr>
      <w:r>
        <w:rPr>
          <w:b/>
        </w:rPr>
        <w:t>Secondary Search Terms</w:t>
      </w:r>
      <w:r>
        <w:t>: export FX settlement; trade foreign exchange; SAFE registration; goods flow funds flow; ASOne platform</w:t>
      </w:r>
    </w:p>
    <w:p>
      <w:pPr>
        <w:pStyle w:val="ListBullet"/>
      </w:pPr>
      <w:r>
        <w:rPr>
          <w:b/>
        </w:rPr>
        <w:t>Suggested URL</w:t>
      </w:r>
      <w:r>
        <w:t>: /guides/export-fx-settlement-trade-fx-registration/</w:t>
      </w:r>
    </w:p>
    <w:p>
      <w:pPr>
        <w:pStyle w:val="ListBullet"/>
      </w:pPr>
      <w:r>
        <w:rPr>
          <w:b/>
        </w:rPr>
        <w:t>Search Intent</w:t>
      </w:r>
      <w:r>
        <w:t>: 出口企业如何办理贸易外汇收支企业名录登记、收汇结汇并满足货物流-资金流匹配核查</w:t>
      </w:r>
    </w:p>
    <w:p>
      <w:pPr>
        <w:pStyle w:val="ListBullet"/>
      </w:pPr>
      <w:r>
        <w:rPr>
          <w:b/>
        </w:rPr>
        <w:t>Internal Link Suggestions</w:t>
      </w:r>
      <w:r>
        <w:t>: /guides/export-payment-methods-t-t-lc-risk/, /guides/china-export-vat-refund-process/, /guides/china-export-customs-declaration-single-window/</w:t>
      </w:r>
    </w:p>
    <w:p>
      <w:pPr>
        <w:pStyle w:val="ListBullet"/>
      </w:pPr>
      <w:r>
        <w:rPr>
          <w:b/>
        </w:rPr>
        <w:t>Schema Scope</w:t>
      </w:r>
      <w:r>
        <w:t>: Article (no Product/Offer/Review)</w:t>
      </w:r>
    </w:p>
    <w:p/>
    <w:p>
      <w:pPr>
        <w:pStyle w:val="Heading2"/>
      </w:pPr>
      <w:r>
        <w:t>The one step that must happen before the first receipt</w:t>
      </w:r>
    </w:p>
    <w:p>
      <w:r>
        <w:t xml:space="preserve">Before a Chinese exporter can receive its first export payment, it must be on the </w:t>
      </w:r>
      <w:r>
        <w:rPr>
          <w:b/>
        </w:rPr>
        <w:t>trade foreign-exchange enterprise directory</w:t>
      </w:r>
      <w:r>
        <w:t xml:space="preserve">. Under the current framework the prior SAFE approval step was removed: the enterprise completes </w:t>
      </w:r>
      <w:r>
        <w:rPr>
          <w:b/>
        </w:rPr>
        <w:t>directory registration at its domestic bank</w:t>
      </w:r>
      <w:r>
        <w:t xml:space="preserve"> after obtaining foreign-trade operating rights, and that registration precedes the first receipt/payment. A company that signs its first vehicle export without this step will discover the problem at the moment money should arrive.</w:t>
      </w:r>
    </w:p>
    <w:p/>
    <w:p>
      <w:pPr>
        <w:pStyle w:val="Heading2"/>
      </w:pPr>
      <w:r>
        <w:t>Settlement, conversion and the goods/funds match</w:t>
      </w:r>
    </w:p>
    <w:p>
      <w:r>
        <w:t xml:space="preserve">Export receipts are handled through the banking channel; conversion to RMB follows the account rules. SAFE supervises trade FX through an </w:t>
      </w:r>
      <w:r>
        <w:rPr>
          <w:b/>
        </w:rPr>
        <w:t>aggregate (总量) verification</w:t>
      </w:r>
      <w:r>
        <w:t xml:space="preserve"> that matches the </w:t>
      </w:r>
      <w:r>
        <w:rPr>
          <w:b/>
        </w:rPr>
        <w:t>goods flow</w:t>
      </w:r>
      <w:r>
        <w:t xml:space="preserve"> (customs declarations) against the </w:t>
      </w:r>
      <w:r>
        <w:rPr>
          <w:b/>
        </w:rPr>
        <w:t>funds flow</w:t>
      </w:r>
      <w:r>
        <w:t xml:space="preserve"> (receipts), rather than approving each transaction in advance. Enterprises are classified dynamically; mismatches between what was declared exported and what was received attract scrutiny.</w:t>
      </w:r>
    </w:p>
    <w:p/>
    <w:p>
      <w:pPr>
        <w:pStyle w:val="Heading2"/>
      </w:pPr>
      <w:r>
        <w:t>Where the work is done</w:t>
      </w:r>
    </w:p>
    <w:p>
      <w:r>
        <w:t>Routine registration and reporting are handled at the bank and through the digital foreign-exchange platform (ASOne/数字外管); regional SAFE branches issue guidance, but they are all one authority — the branch is not a separate regulator. Keep the customs declaration, bank receipt and invoice aligned so the aggregate comparison reconciles over the period.</w:t>
      </w:r>
    </w:p>
    <w:p/>
    <w:p>
      <w:pPr>
        <w:pStyle w:val="Heading2"/>
      </w:pPr>
      <w:r>
        <w:t>Operating checklist</w:t>
      </w:r>
    </w:p>
    <w:p>
      <w:pPr>
        <w:pStyle w:val="ListNumber"/>
      </w:pPr>
      <w:r>
        <w:t xml:space="preserve">Obtain foreign-trade rights, then complete trade-FX directory registration at the bank </w:t>
      </w:r>
      <w:r>
        <w:rPr>
          <w:b/>
        </w:rPr>
        <w:t>before the first receipt</w:t>
      </w:r>
      <w:r>
        <w:t>.</w:t>
      </w:r>
    </w:p>
    <w:p>
      <w:pPr>
        <w:pStyle w:val="ListNumber"/>
      </w:pPr>
      <w:r>
        <w:t>Use consistent entity names and contract/invoice numbers across customs, bank and FX records.</w:t>
      </w:r>
    </w:p>
    <w:p>
      <w:pPr>
        <w:pStyle w:val="ListNumber"/>
      </w:pPr>
      <w:r>
        <w:t>Reconcile goods flow and funds flow each period; explain timing differences (deposits, staged shipments) with documents.</w:t>
      </w:r>
    </w:p>
    <w:p>
      <w:pPr>
        <w:pStyle w:val="ListNumber"/>
      </w:pPr>
      <w:r>
        <w:t>File through the digital platform as required; respond promptly to any verification query.</w:t>
      </w:r>
    </w:p>
    <w:p>
      <w:pPr>
        <w:pStyle w:val="ListNumber"/>
      </w:pPr>
      <w:r>
        <w:t>Coordinate with the payment-method and VAT-refund processes so the same transaction is reported consistently.</w:t>
      </w:r>
    </w:p>
    <w:p/>
    <w:p>
      <w:pPr>
        <w:pStyle w:val="Heading2"/>
      </w:pPr>
      <w:r>
        <w:t>Boundaries</w:t>
      </w:r>
    </w:p>
    <w:p>
      <w:r>
        <w:t>Specific account products, bank fees and current operational screens are time-sensitive and bank-specific; this guide quotes none. It covers the China FX side, not destination-country exchange controls.</w:t>
      </w:r>
    </w:p>
    <w:p/>
    <w:p>
      <w:pPr>
        <w:pStyle w:val="Heading2"/>
      </w:pPr>
      <w:r>
        <w:t>FAQ</w:t>
      </w:r>
    </w:p>
    <w:p>
      <w:r>
        <w:rPr>
          <w:b/>
        </w:rPr>
        <w:t>Do I need SAFE approval before every receipt?</w:t>
      </w:r>
      <w:r>
        <w:t xml:space="preserve"> No — the current model uses bank directory registration plus aggregate verification.</w:t>
      </w:r>
    </w:p>
    <w:p>
      <w:r>
        <w:rPr>
          <w:b/>
        </w:rPr>
        <w:t>When must I register?</w:t>
      </w:r>
      <w:r>
        <w:t xml:space="preserve"> After obtaining foreign-trade rights and before the first export receipt/payment.</w:t>
      </w:r>
    </w:p>
    <w:p>
      <w:r>
        <w:rPr>
          <w:b/>
        </w:rPr>
        <w:t>What is aggregate verification?</w:t>
      </w:r>
      <w:r>
        <w:t xml:space="preserve"> Periodic matching of customs goods-flow against bank funds-flow, with dynamic enterprise classification.</w:t>
      </w:r>
    </w:p>
    <w:p>
      <w:r>
        <w:rPr>
          <w:b/>
        </w:rPr>
        <w:t>Are local SAFE branches separate regulators?</w:t>
      </w:r>
      <w:r>
        <w:t xml:space="preserve"> No — one authority; branches implement the same rules.</w:t>
      </w:r>
    </w:p>
    <w:p>
      <w:r>
        <w:rPr>
          <w:b/>
        </w:rPr>
        <w:t>Does this cover the buyer's country FX rules?</w:t>
      </w:r>
      <w:r>
        <w:t xml:space="preserve"> No — only the China side.</w:t>
      </w:r>
    </w:p>
    <w:p/>
    <w:p/>
    <w:p>
      <w:pPr>
        <w:pStyle w:val="Heading2"/>
      </w:pPr>
      <w:r>
        <w:t>Sources &amp; Verification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Source</w:t>
            </w:r>
          </w:p>
        </w:tc>
        <w:tc>
          <w:tcPr>
            <w:tcW w:type="dxa" w:w="1234"/>
          </w:tcPr>
          <w:p>
            <w:r>
              <w:t>Organization</w:t>
            </w:r>
          </w:p>
        </w:tc>
        <w:tc>
          <w:tcPr>
            <w:tcW w:type="dxa" w:w="1234"/>
          </w:tcPr>
          <w:p>
            <w:r>
              <w:t>Market</w:t>
            </w:r>
          </w:p>
        </w:tc>
        <w:tc>
          <w:tcPr>
            <w:tcW w:type="dxa" w:w="1234"/>
          </w:tcPr>
          <w:p>
            <w:r>
              <w:t>Tier</w:t>
            </w:r>
          </w:p>
        </w:tc>
        <w:tc>
          <w:tcPr>
            <w:tcW w:type="dxa" w:w="1234"/>
          </w:tcPr>
          <w:p>
            <w:r>
              <w:t>Confidence</w:t>
            </w:r>
          </w:p>
        </w:tc>
        <w:tc>
          <w:tcPr>
            <w:tcW w:type="dxa" w:w="1234"/>
          </w:tcPr>
          <w:p>
            <w:r>
              <w:t>URL</w:t>
            </w:r>
          </w:p>
        </w:tc>
        <w:tc>
          <w:tcPr>
            <w:tcW w:type="dxa" w:w="1234"/>
          </w:tcPr>
          <w:p>
            <w:r>
              <w:t>Supported facts</w:t>
            </w:r>
          </w:p>
        </w:tc>
      </w:tr>
      <w:tr>
        <w:tc>
          <w:tcPr>
            <w:tcW w:type="dxa" w:w="1234"/>
          </w:tcPr>
          <w:p>
            <w:r>
              <w:t>关于进一步优化贸易外汇业务管理的通知（名录登记改由银行办理）</w:t>
            </w:r>
          </w:p>
        </w:tc>
        <w:tc>
          <w:tcPr>
            <w:tcW w:type="dxa" w:w="1234"/>
          </w:tcPr>
          <w:p>
            <w:r>
              <w:t>国家外汇管理局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T1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http://www.safe.gov.cn/yunnan/2024/0408/1537.html</w:t>
            </w:r>
          </w:p>
        </w:tc>
        <w:tc>
          <w:tcPr>
            <w:tcW w:type="dxa" w:w="1234"/>
          </w:tcPr>
          <w:p>
            <w:r>
              <w:t>取消外汇局核准, 境内银行办理名录登记, 首笔收支前登记</w:t>
            </w:r>
          </w:p>
        </w:tc>
      </w:tr>
      <w:tr>
        <w:tc>
          <w:tcPr>
            <w:tcW w:type="dxa" w:w="1234"/>
          </w:tcPr>
          <w:p>
            <w:r>
              <w:t>货物贸易外汇业务办事指南（名录登记条件）</w:t>
            </w:r>
          </w:p>
        </w:tc>
        <w:tc>
          <w:tcPr>
            <w:tcW w:type="dxa" w:w="1234"/>
          </w:tcPr>
          <w:p>
            <w:r>
              <w:t>国家外汇管理局吉林省分局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T1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https://www.safe.gov.cn/jilin/file/file/20190617/91d454729ccc456c9b2e6a92cd6bcc51.pdf</w:t>
            </w:r>
          </w:p>
        </w:tc>
        <w:tc>
          <w:tcPr>
            <w:tcW w:type="dxa" w:w="1234"/>
          </w:tcPr>
          <w:p>
            <w:r>
              <w:t>取得对外贸易经营权后办名录</w:t>
            </w:r>
          </w:p>
        </w:tc>
      </w:tr>
      <w:tr>
        <w:tc>
          <w:tcPr>
            <w:tcW w:type="dxa" w:w="1234"/>
          </w:tcPr>
          <w:p>
            <w:r>
              <w:t>货物贸易外汇管理（非现场总量核查/分类管理）</w:t>
            </w:r>
          </w:p>
        </w:tc>
        <w:tc>
          <w:tcPr>
            <w:tcW w:type="dxa" w:w="1234"/>
          </w:tcPr>
          <w:p>
            <w:r>
              <w:t>国家外汇管理局文告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T1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https://www.safe.gov.cn/safe/file/file/20170726/e97561d6d9ca4ba881d275fcb62bad2e.pdf</w:t>
            </w:r>
          </w:p>
        </w:tc>
        <w:tc>
          <w:tcPr>
            <w:tcW w:type="dxa" w:w="1234"/>
          </w:tcPr>
          <w:p>
            <w:r>
              <w:t>总量核查, 货物流资金流匹配, 动态分类</w:t>
            </w:r>
          </w:p>
        </w:tc>
      </w:tr>
      <w:tr>
        <w:tc>
          <w:tcPr>
            <w:tcW w:type="dxa" w:w="1234"/>
          </w:tcPr>
          <w:p>
            <w:r>
              <w:t>名录登记网上办理操作指引（ASOne平台）</w:t>
            </w:r>
          </w:p>
        </w:tc>
        <w:tc>
          <w:tcPr>
            <w:tcW w:type="dxa" w:w="1234"/>
          </w:tcPr>
          <w:p>
            <w:r>
              <w:t>国家外汇管理局广东省分局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T1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https://www.safe.gov.cn/guangdong/file/file/20210429/babf0a6020e84b4585a7ba6737bb2c41.pdf</w:t>
            </w:r>
          </w:p>
        </w:tc>
        <w:tc>
          <w:tcPr>
            <w:tcW w:type="dxa" w:w="1234"/>
          </w:tcPr>
          <w:p>
            <w:r>
              <w:t>数字外管平台ASOne操作</w:t>
            </w:r>
          </w:p>
        </w:tc>
      </w:tr>
      <w:tr>
        <w:tc>
          <w:tcPr>
            <w:tcW w:type="dxa" w:w="1234"/>
          </w:tcPr>
          <w:p>
            <w:r>
              <w:t>State Administration of Foreign Exchange (SAFE)</w:t>
            </w:r>
          </w:p>
        </w:tc>
        <w:tc>
          <w:tcPr>
            <w:tcW w:type="dxa" w:w="1234"/>
          </w:tcPr>
          <w:p>
            <w:r>
              <w:t>SAFE 国家外汇管理局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T1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https://www.safe.gov.cn/en/</w:t>
            </w:r>
          </w:p>
        </w:tc>
        <w:tc>
          <w:tcPr>
            <w:tcW w:type="dxa" w:w="1234"/>
          </w:tcPr>
          <w:p>
            <w:r>
              <w:t>trade-FX registration and aggregate verification authority</w:t>
            </w:r>
          </w:p>
        </w:tc>
      </w:tr>
      <w:tr>
        <w:tc>
          <w:tcPr>
            <w:tcW w:type="dxa" w:w="1234"/>
          </w:tcPr>
          <w:p>
            <w:r>
              <w:t>State Administration of Foreign Exchange (SAFE)</w:t>
            </w:r>
          </w:p>
        </w:tc>
        <w:tc>
          <w:tcPr>
            <w:tcW w:type="dxa" w:w="1234"/>
          </w:tcPr>
          <w:p>
            <w:r>
              <w:t>SAFE (regulator)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T1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https://www.safe.gov.cn/</w:t>
            </w:r>
          </w:p>
        </w:tc>
        <w:tc>
          <w:tcPr>
            <w:tcW w:type="dxa" w:w="1234"/>
          </w:tcPr>
          <w:p>
            <w:r>
              <w:t>competent authority for trade-FX registration and aggregate verification</w:t>
            </w:r>
          </w:p>
        </w:tc>
      </w:tr>
      <w:tr>
        <w:tc>
          <w:tcPr>
            <w:tcW w:type="dxa" w:w="1234"/>
          </w:tcPr>
          <w:p>
            <w:r>
              <w:t>People's Bank of China (PBOC) — cross-border RMB settlement framework</w:t>
            </w:r>
          </w:p>
        </w:tc>
        <w:tc>
          <w:tcPr>
            <w:tcW w:type="dxa" w:w="1234"/>
          </w:tcPr>
          <w:p>
            <w:r>
              <w:t>People's Bank of China (中国人民银行 PBOC)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T1/T2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http://www.pbc.gov.cn/</w:t>
            </w:r>
          </w:p>
        </w:tc>
        <w:tc>
          <w:tcPr>
            <w:tcW w:type="dxa" w:w="1234"/>
          </w:tcPr>
          <w:p>
            <w:r>
              <w:t>Central-bank framework for cross-border RMB settlement and bank handling, distinct from SAFE foreign-exchange registration</w:t>
            </w:r>
          </w:p>
        </w:tc>
      </w:tr>
      <w:tr>
        <w:tc>
          <w:tcPr>
            <w:tcW w:type="dxa" w:w="1234"/>
          </w:tcPr>
          <w:p>
            <w:r>
              <w:t>ICC Trade Finance (forfaiting/URF, L/C settlement)</w:t>
            </w:r>
          </w:p>
        </w:tc>
        <w:tc>
          <w:tcPr>
            <w:tcW w:type="dxa" w:w="1234"/>
          </w:tcPr>
          <w:p>
            <w:r>
              <w:t>International Chamber of Commerce</w:t>
            </w:r>
          </w:p>
        </w:tc>
        <w:tc>
          <w:tcPr>
            <w:tcW w:type="dxa" w:w="1234"/>
          </w:tcPr>
          <w:p>
            <w:r>
              <w:t>INT</w:t>
            </w:r>
          </w:p>
        </w:tc>
        <w:tc>
          <w:tcPr>
            <w:tcW w:type="dxa" w:w="1234"/>
          </w:tcPr>
          <w:p>
            <w:r>
              <w:t>T1/T2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https://iccwbo.org/business-solutions/trade-finance/</w:t>
            </w:r>
          </w:p>
        </w:tc>
        <w:tc>
          <w:tcPr>
            <w:tcW w:type="dxa" w:w="1234"/>
          </w:tcPr>
          <w:p>
            <w:r>
              <w:t>International settlement instruments (forfaiting URF 824, L/C) that interact with export FX receipt</w:t>
            </w:r>
          </w:p>
        </w:tc>
      </w:tr>
      <w:tr>
        <w:tc>
          <w:tcPr>
            <w:tcW w:type="dxa" w:w="1234"/>
          </w:tcPr>
          <w:p>
            <w:r>
              <w:t>CCPIT — trade documentation and settlement support</w:t>
            </w:r>
          </w:p>
        </w:tc>
        <w:tc>
          <w:tcPr>
            <w:tcW w:type="dxa" w:w="1234"/>
          </w:tcPr>
          <w:p>
            <w:r>
              <w:t>China Council for the Promotion of International Trade (CCPIT 中国贸促会)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T1/T2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https://www.ccpit.org/</w:t>
            </w:r>
          </w:p>
        </w:tc>
        <w:tc>
          <w:tcPr>
            <w:tcW w:type="dxa" w:w="1234"/>
          </w:tcPr>
          <w:p>
            <w:r>
              <w:t>Trade documentation supporting proof-of-transaction used in FX receipt/verification</w:t>
            </w:r>
          </w:p>
        </w:tc>
      </w:tr>
    </w:tbl>
    <w:p>
      <w:pPr>
        <w:pStyle w:val="Heading2"/>
      </w:pPr>
      <w:r>
        <w:t>Editorial Review</w:t>
      </w:r>
    </w:p>
    <w:p>
      <w:pPr>
        <w:pStyle w:val="ListBullet"/>
      </w:pPr>
      <w:r>
        <w:rPr>
          <w:b/>
        </w:rPr>
        <w:t>Author</w:t>
      </w:r>
      <w:r>
        <w:t>: AutoBridge Export Editorial Team · [authors](/authors/) · [Editorial Policy](/editorial-policy/)</w:t>
      </w:r>
    </w:p>
    <w:p>
      <w:pPr>
        <w:pStyle w:val="ListBullet"/>
      </w:pPr>
      <w:r>
        <w:rPr>
          <w:b/>
        </w:rPr>
        <w:t>Last reviewed</w:t>
      </w:r>
      <w:r>
        <w:t>: 2026-09-05</w:t>
      </w:r>
    </w:p>
    <w:p>
      <w:pPr>
        <w:pStyle w:val="ListBullet"/>
      </w:pPr>
      <w:r>
        <w:rPr>
          <w:b/>
        </w:rPr>
        <w:t>Reference market</w:t>
      </w:r>
      <w:r>
        <w:t>: CN（中国外汇管理侧）</w:t>
      </w:r>
    </w:p>
    <w:p>
      <w:pPr>
        <w:pStyle w:val="ListBullet"/>
      </w:pPr>
      <w:r>
        <w:rPr>
          <w:b/>
        </w:rPr>
        <w:t>Verification method</w:t>
      </w:r>
      <w:r>
        <w:t>: Desk research against the sources below; Chinese-market reference specification only unless a separate export market is explicitly cited.</w:t>
      </w:r>
    </w:p>
    <w:p>
      <w:pPr>
        <w:pStyle w:val="ListBullet"/>
      </w:pPr>
      <w:r>
        <w:rPr>
          <w:b/>
        </w:rPr>
        <w:t>Transparency</w:t>
      </w:r>
      <w:r>
        <w:t>: AI-assisted drafting was used. This article is based on desk research and automated QA. No first-hand testing is claimed unless explicitly documented; confirm time-sensitive and destination-specific requirements before transacting.</w:t>
      </w:r>
    </w:p>
    <w:p/>
    <w:p>
      <w:pPr>
        <w:pStyle w:val="Heading2"/>
      </w:pPr>
      <w:r>
        <w:t>Image Record</w:t>
      </w:r>
    </w:p>
    <w:p>
      <w:pPr>
        <w:pStyle w:val="ListBullet"/>
      </w:pPr>
      <w:r>
        <w:rPr>
          <w:b/>
        </w:rPr>
        <w:t>IMAGE_ASSET_PATH</w:t>
      </w:r>
      <w:r>
        <w:t>: none secured in repository</w:t>
      </w:r>
    </w:p>
    <w:p>
      <w:pPr>
        <w:pStyle w:val="ListBullet"/>
      </w:pPr>
      <w:r>
        <w:rPr>
          <w:b/>
        </w:rPr>
        <w:t>ORIGINAL_IMAGE_URL</w:t>
      </w:r>
      <w:r>
        <w:t>: not captured</w:t>
      </w:r>
    </w:p>
    <w:p>
      <w:pPr>
        <w:pStyle w:val="ListBullet"/>
      </w:pPr>
      <w:r>
        <w:rPr>
          <w:b/>
        </w:rPr>
        <w:t>SOURCE_PAGE</w:t>
      </w:r>
      <w:r>
        <w:t>: not captured</w:t>
      </w:r>
    </w:p>
    <w:p>
      <w:pPr>
        <w:pStyle w:val="ListBullet"/>
      </w:pPr>
      <w:r>
        <w:rPr>
          <w:b/>
        </w:rPr>
        <w:t>SOURCE_FILE_PAGE</w:t>
      </w:r>
      <w:r>
        <w:t>: not applicable — no candidate media file identified (no licence to assert)</w:t>
      </w:r>
    </w:p>
    <w:p>
      <w:pPr>
        <w:pStyle w:val="ListBullet"/>
      </w:pPr>
      <w:r>
        <w:rPr>
          <w:b/>
        </w:rPr>
        <w:t>RIGHTS_HOLDER</w:t>
      </w:r>
      <w:r>
        <w:t>: unconfirmed</w:t>
      </w:r>
    </w:p>
    <w:p>
      <w:pPr>
        <w:pStyle w:val="ListBullet"/>
      </w:pPr>
      <w:r>
        <w:rPr>
          <w:b/>
        </w:rPr>
        <w:t>LICENSE_OR_USAGE_BASIS</w:t>
      </w:r>
      <w:r>
        <w:t>: none secured — OEM webpage presence is not a commercial reuse licence</w:t>
      </w:r>
    </w:p>
    <w:p>
      <w:pPr>
        <w:pStyle w:val="ListBullet"/>
      </w:pPr>
      <w:r>
        <w:rPr>
          <w:b/>
        </w:rPr>
        <w:t>CHECKED_DATE</w:t>
      </w:r>
      <w:r>
        <w:t>: 2026-09-06</w:t>
      </w:r>
    </w:p>
    <w:p>
      <w:pPr>
        <w:pStyle w:val="ListBullet"/>
      </w:pPr>
      <w:r>
        <w:rPr>
          <w:b/>
        </w:rPr>
        <w:t>MODEL_TOPIC_MATCH</w:t>
      </w:r>
      <w:r>
        <w:t>: exact Export FX Settlement and Trade-FX Administration for Vehicle Exporters</w:t>
      </w:r>
    </w:p>
    <w:p>
      <w:pPr>
        <w:pStyle w:val="ListBullet"/>
      </w:pPr>
      <w:r>
        <w:rPr>
          <w:b/>
        </w:rPr>
        <w:t>IMAGE_SCOPE_NOTE</w:t>
      </w:r>
      <w:r>
        <w:t>: image must match the exact model family/topic only; must not imply a specific trim, model year, real VIN, in-person inspection or an actual transaction</w:t>
      </w:r>
    </w:p>
    <w:p>
      <w:pPr>
        <w:pStyle w:val="ListBullet"/>
      </w:pPr>
      <w:r>
        <w:rPr>
          <w:b/>
        </w:rPr>
        <w:t>IMAGE_RIGHTS_STATUS</w:t>
      </w:r>
      <w:r>
        <w:t>: FAIL</w:t>
      </w:r>
    </w:p>
    <w:p>
      <w:pPr>
        <w:pStyle w:val="ListBullet"/>
      </w:pPr>
      <w:r>
        <w:rPr>
          <w:b/>
        </w:rPr>
        <w:t>BLOCK_REASON</w:t>
      </w:r>
      <w:r>
        <w:t>: No reusable image could be secured: Wikimedia Commons/Flickr are unreachable from the research environment, stock libraries require authenticated API/licence access, and an OEM webpage image is NOT a commercial reuse grant. No AutoBridge-owned photo exists. Record kept FAIL rather than asserted.</w:t>
      </w:r>
    </w:p>
    <w:p>
      <w:pPr>
        <w:pStyle w:val="ListBullet"/>
      </w:pPr>
      <w:r>
        <w:rPr>
          <w:b/>
        </w:rPr>
        <w:t>ALT (12 languages)</w:t>
      </w:r>
      <w:r>
        <w:t>:</w:t>
      </w:r>
    </w:p>
    <w:p>
      <w:pPr>
        <w:pStyle w:val="ListBullet"/>
      </w:pPr>
      <w:r>
        <w:rPr>
          <w:b/>
        </w:rPr>
        <w:t>EN</w:t>
      </w:r>
      <w:r>
        <w:t>: export FX settlement, Chinese-market procurement guide export buyer reference</w:t>
      </w:r>
    </w:p>
    <w:p>
      <w:pPr>
        <w:pStyle w:val="ListBullet"/>
      </w:pPr>
      <w:r>
        <w:rPr>
          <w:b/>
        </w:rPr>
        <w:t>FR</w:t>
      </w:r>
      <w:r>
        <w:t>: export FX settlement, procurement guide du marché chinois, référence acheteur export</w:t>
      </w:r>
    </w:p>
    <w:p>
      <w:pPr>
        <w:pStyle w:val="ListBullet"/>
      </w:pPr>
      <w:r>
        <w:rPr>
          <w:b/>
        </w:rPr>
        <w:t>DE</w:t>
      </w:r>
      <w:r>
        <w:t>: export FX settlement, Chinesischer procurement guide, Referenz für Exportkäufer</w:t>
      </w:r>
    </w:p>
    <w:p>
      <w:pPr>
        <w:pStyle w:val="ListBullet"/>
      </w:pPr>
      <w:r>
        <w:rPr>
          <w:b/>
        </w:rPr>
        <w:t>ES</w:t>
      </w:r>
      <w:r>
        <w:t>: export FX settlement, procurement guide del mercado chino, referencia para comprador de exportación</w:t>
      </w:r>
    </w:p>
    <w:p>
      <w:pPr>
        <w:pStyle w:val="ListBullet"/>
      </w:pPr>
      <w:r>
        <w:rPr>
          <w:b/>
        </w:rPr>
        <w:t>PT</w:t>
      </w:r>
      <w:r>
        <w:t>: export FX settlement, procurement guide do mercado chinês, referência ao comprador de exportação</w:t>
      </w:r>
    </w:p>
    <w:p>
      <w:pPr>
        <w:pStyle w:val="ListBullet"/>
      </w:pPr>
      <w:r>
        <w:rPr>
          <w:b/>
        </w:rPr>
        <w:t>JA</w:t>
      </w:r>
      <w:r>
        <w:t>: export FX settlement, 中国市場procurement guide・輸出バイヤー向けリファレンス</w:t>
      </w:r>
    </w:p>
    <w:p>
      <w:pPr>
        <w:pStyle w:val="ListBullet"/>
      </w:pPr>
      <w:r>
        <w:rPr>
          <w:b/>
        </w:rPr>
        <w:t>KO</w:t>
      </w:r>
      <w:r>
        <w:t>: export FX settlement, 중국 시장 procurement guide, 수출 바이어 참고 자료</w:t>
      </w:r>
    </w:p>
    <w:p>
      <w:pPr>
        <w:pStyle w:val="ListBullet"/>
      </w:pPr>
      <w:r>
        <w:rPr>
          <w:b/>
        </w:rPr>
        <w:t>VI</w:t>
      </w:r>
      <w:r>
        <w:t>: export FX settlement, procurement guide thị trường Trung Quốc, tham chiếu cho người mua xuất khẩu</w:t>
      </w:r>
    </w:p>
    <w:p>
      <w:pPr>
        <w:pStyle w:val="ListBullet"/>
      </w:pPr>
      <w:r>
        <w:rPr>
          <w:b/>
        </w:rPr>
        <w:t>TH</w:t>
      </w:r>
      <w:r>
        <w:t>: export FX settlement, procurement guide ตลาดจีน เอกสารอ้างอิงสำหรับผู้ซื้อส่งออก</w:t>
      </w:r>
    </w:p>
    <w:p>
      <w:pPr>
        <w:pStyle w:val="ListBullet"/>
      </w:pPr>
      <w:r>
        <w:rPr>
          <w:b/>
        </w:rPr>
        <w:t>ID</w:t>
      </w:r>
      <w:r>
        <w:t>: export FX settlement, procurement guide pasar Tiongkok, referensi pembeli ekspor</w:t>
      </w:r>
    </w:p>
    <w:p>
      <w:pPr>
        <w:pStyle w:val="ListBullet"/>
      </w:pPr>
      <w:r>
        <w:rPr>
          <w:b/>
        </w:rPr>
        <w:t>AR</w:t>
      </w:r>
      <w:r>
        <w:t>: export FX settlement, procurement guide السوق الصيني، مرجع لمشتري التصدير</w:t>
      </w:r>
    </w:p>
    <w:p>
      <w:pPr>
        <w:pStyle w:val="ListBullet"/>
      </w:pPr>
      <w:r>
        <w:rPr>
          <w:b/>
        </w:rPr>
        <w:t>ZH</w:t>
      </w:r>
      <w:r>
        <w:t>: export FX settlement, 中国市场procurement guide·出口采购参考</w:t>
      </w:r>
    </w:p>
    <w:p/>
    <w:p/>
    <w:p>
      <w:r>
        <w:t>#AutoBridge #ChinaCarExport #ExportProcurement #TradeFX #SAFE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