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Export Compliance and Sanctions Screening for Chinese Vehicle Exporters</w:t>
      </w:r>
    </w:p>
    <w:p/>
    <w:p>
      <w:pPr>
        <w:pStyle w:val="Heading2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Export Compliance &amp; Sanctions Screening for Vehicle Exporters: End-User, Dual-Use and Restricted Lists</w:t>
      </w:r>
    </w:p>
    <w:p>
      <w:pPr>
        <w:pStyle w:val="ListBullet"/>
      </w:pPr>
      <w:r>
        <w:rPr>
          <w:b/>
        </w:rPr>
        <w:t>Meta Description</w:t>
      </w:r>
      <w:r>
        <w:t>: A Chinese vehicle-export compliance baseline: end-user/end-use controls, dual-use screening, restricted/denied-party lists, the five-year record duty, and why restricted parties must not be served.</w:t>
      </w:r>
    </w:p>
    <w:p>
      <w:pPr>
        <w:pStyle w:val="ListBullet"/>
      </w:pPr>
      <w:r>
        <w:rPr>
          <w:b/>
        </w:rPr>
        <w:t>H1</w:t>
      </w:r>
      <w:r>
        <w:t>: Export Compliance and Sanctions Screening for Chinese Vehicle Exporters</w:t>
      </w:r>
    </w:p>
    <w:p>
      <w:pPr>
        <w:pStyle w:val="ListBullet"/>
      </w:pPr>
      <w:r>
        <w:rPr>
          <w:b/>
        </w:rPr>
        <w:t>Primary Keyword</w:t>
      </w:r>
      <w:r>
        <w:t>: export compliance sanctions screening end user</w:t>
      </w:r>
    </w:p>
    <w:p>
      <w:pPr>
        <w:pStyle w:val="ListBullet"/>
      </w:pPr>
      <w:r>
        <w:rPr>
          <w:b/>
        </w:rPr>
        <w:t>Secondary Search Terms</w:t>
      </w:r>
      <w:r>
        <w:t>: export control; sanctions screening; end-user statement; denied party; dual-use; restricted list</w:t>
      </w:r>
    </w:p>
    <w:p>
      <w:pPr>
        <w:pStyle w:val="ListBullet"/>
      </w:pPr>
      <w:r>
        <w:rPr>
          <w:b/>
        </w:rPr>
        <w:t>Suggested URL</w:t>
      </w:r>
      <w:r>
        <w:t>: /guides/export-compliance-sanctions-screening-end-user/</w:t>
      </w:r>
    </w:p>
    <w:p>
      <w:pPr>
        <w:pStyle w:val="ListBullet"/>
      </w:pPr>
      <w:r>
        <w:rPr>
          <w:b/>
        </w:rPr>
        <w:t>Search Intent</w:t>
      </w:r>
      <w:r>
        <w:t>: 汽车出口如何做最终用户/最终用途尽调、管控/关注名单与境外制裁名单筛查，规避出口管制与制裁风险</w:t>
      </w:r>
    </w:p>
    <w:p>
      <w:pPr>
        <w:pStyle w:val="ListBullet"/>
      </w:pPr>
      <w:r>
        <w:rPr>
          <w:b/>
        </w:rPr>
        <w:t>Internal Link Suggestions</w:t>
      </w:r>
      <w:r>
        <w:t>: /guides/export-payment-methods-t-t-lc-risk/, /guides/verify-chinese-car-export-supplier-history/, /guides/export-compliance-sanctions-screening-end-user/</w:t>
      </w:r>
    </w:p>
    <w:p>
      <w:pPr>
        <w:pStyle w:val="ListBullet"/>
      </w:pPr>
      <w:r>
        <w:rPr>
          <w:b/>
        </w:rPr>
        <w:t>Schema Scope</w:t>
      </w:r>
      <w:r>
        <w:t>: Article (no Product/Offer/Review)</w:t>
      </w:r>
    </w:p>
    <w:p/>
    <w:p>
      <w:pPr>
        <w:pStyle w:val="Heading2"/>
      </w:pPr>
      <w:r>
        <w:t>Compliance is a transaction gate, not paperwork at the end</w:t>
      </w:r>
    </w:p>
    <w:p>
      <w:r>
        <w:t xml:space="preserve">Vehicle exporters face both China's export-control regime and international sanctions frameworks. The controlling principle is </w:t>
      </w:r>
      <w:r>
        <w:rPr>
          <w:b/>
        </w:rPr>
        <w:t>end-user and end-use management across the whole transaction</w:t>
      </w:r>
      <w:r>
        <w:t>: an exporter must know who will receive the goods and what they will be used for, and must screen against restricted/denied lists before committing. This cannot be outsourced to the freight forwarder or fixed after shipment.</w:t>
      </w:r>
    </w:p>
    <w:p/>
    <w:p>
      <w:pPr>
        <w:pStyle w:val="Heading2"/>
      </w:pPr>
      <w:r>
        <w:t>The duties the rules actually impose</w:t>
      </w:r>
    </w:p>
    <w:p>
      <w:pPr>
        <w:pStyle w:val="ListBullet"/>
      </w:pPr>
      <w:r>
        <w:rPr>
          <w:b/>
        </w:rPr>
        <w:t>End-user/end-use evidence</w:t>
      </w:r>
      <w:r>
        <w:t>: obtain end-user/end-use documentation where controlled items or sensitive uses are involved.</w:t>
      </w:r>
    </w:p>
    <w:p>
      <w:pPr>
        <w:pStyle w:val="ListBullet"/>
      </w:pPr>
      <w:r>
        <w:rPr>
          <w:b/>
        </w:rPr>
        <w:t>Control-list basis</w:t>
      </w:r>
      <w:r>
        <w:t>: determine whether the item (including any dual-use technology or component) falls on a control list; vehicles and especially certain chassis, electronics or dual-capable equipment need a genuine check rather than an assumption that "cars are not controlled".</w:t>
      </w:r>
    </w:p>
    <w:p>
      <w:pPr>
        <w:pStyle w:val="ListBullet"/>
      </w:pPr>
      <w:r>
        <w:rPr>
          <w:b/>
        </w:rPr>
        <w:t>Denied/restricted principle</w:t>
      </w:r>
      <w:r>
        <w:t>: where a party is on a control/watch list, or the end use relates to military end-users, WMD or terrorism, the licence is not granted and the transaction must not proceed.</w:t>
      </w:r>
    </w:p>
    <w:p>
      <w:pPr>
        <w:pStyle w:val="ListBullet"/>
      </w:pPr>
      <w:r>
        <w:rPr>
          <w:b/>
        </w:rPr>
        <w:t>Records</w:t>
      </w:r>
      <w:r>
        <w:t xml:space="preserve">: relevant end-user and screening records are retained for </w:t>
      </w:r>
      <w:r>
        <w:rPr>
          <w:b/>
        </w:rPr>
        <w:t>five years</w:t>
      </w:r>
      <w:r>
        <w:t>.</w:t>
      </w:r>
    </w:p>
    <w:p>
      <w:pPr>
        <w:pStyle w:val="ListBullet"/>
      </w:pPr>
      <w:r>
        <w:rPr>
          <w:b/>
        </w:rPr>
        <w:t>Compliance measures</w:t>
      </w:r>
      <w:r>
        <w:t>: maintain an internal screening step at order intake (an order-screening routine, end-use statements, escalation for hits).</w:t>
      </w:r>
    </w:p>
    <w:p/>
    <w:p>
      <w:pPr>
        <w:pStyle w:val="Heading2"/>
      </w:pPr>
      <w:r>
        <w:t>How to screen without copying a list by hand</w:t>
      </w:r>
    </w:p>
    <w:p>
      <w:r>
        <w:t>Restricted lists change, so never maintain a hand-copied static list. Use a current screening tool/database at order intake and again before shipment, screen all parties (buyer, consignee, bank, ship-to where relevant), keep the screening result with the file, and escalate any hit for a formal decision rather than "name-tweaking" to pass the matcher.</w:t>
      </w:r>
    </w:p>
    <w:p/>
    <w:p>
      <w:pPr>
        <w:pStyle w:val="Heading2"/>
      </w:pPr>
      <w:r>
        <w:t>A practical order-intake sequence</w:t>
      </w:r>
    </w:p>
    <w:p>
      <w:pPr>
        <w:pStyle w:val="ListNumber"/>
      </w:pPr>
      <w:r>
        <w:t>Capture full legal names and addresses of all counterparties.</w:t>
      </w:r>
    </w:p>
    <w:p>
      <w:pPr>
        <w:pStyle w:val="ListNumber"/>
      </w:pPr>
      <w:r>
        <w:t>Screen against current China export-control and applicable sanctions lists; date-stamp the result.</w:t>
      </w:r>
    </w:p>
    <w:p>
      <w:pPr>
        <w:pStyle w:val="ListNumber"/>
      </w:pPr>
      <w:r>
        <w:t>Obtain an end-use/end-user statement for any sensitive item or destination.</w:t>
      </w:r>
    </w:p>
    <w:p>
      <w:pPr>
        <w:pStyle w:val="ListNumber"/>
      </w:pPr>
      <w:r>
        <w:t>Escalate hits; do not transact with denied/control-list parties.</w:t>
      </w:r>
    </w:p>
    <w:p>
      <w:pPr>
        <w:pStyle w:val="ListNumber"/>
      </w:pPr>
      <w:r>
        <w:t>Retain the complete file for five years.</w:t>
      </w:r>
    </w:p>
    <w:p/>
    <w:p>
      <w:pPr>
        <w:pStyle w:val="Heading2"/>
      </w:pPr>
      <w:r>
        <w:t>Boundaries</w:t>
      </w:r>
    </w:p>
    <w:p>
      <w:r>
        <w:t>This guide does not list sanctioned entities (they change) and does not give country-specific embargo conclusions; obtain current lists and, for ambiguous cases, legal advice.</w:t>
      </w:r>
    </w:p>
    <w:p/>
    <w:p>
      <w:pPr>
        <w:pStyle w:val="Heading2"/>
      </w:pPr>
      <w:r>
        <w:t>FAQ</w:t>
      </w:r>
    </w:p>
    <w:p>
      <w:r>
        <w:rPr>
          <w:b/>
        </w:rPr>
        <w:t>Are ordinary passenger cars dual-use?</w:t>
      </w:r>
      <w:r>
        <w:t xml:space="preserve"> Do not assume — screen the specific item, technology and destination against current lists.</w:t>
      </w:r>
    </w:p>
    <w:p>
      <w:r>
        <w:rPr>
          <w:b/>
        </w:rPr>
        <w:t>How long are records kept?</w:t>
      </w:r>
      <w:r>
        <w:t xml:space="preserve"> Five years for the relevant end-user/compliance records.</w:t>
      </w:r>
    </w:p>
    <w:p>
      <w:r>
        <w:rPr>
          <w:b/>
        </w:rPr>
        <w:t>Can I just keep a copied blacklist?</w:t>
      </w:r>
      <w:r>
        <w:t xml:space="preserve"> No — lists change; use a current screening tool and keep dated results.</w:t>
      </w:r>
    </w:p>
    <w:p>
      <w:r>
        <w:rPr>
          <w:b/>
        </w:rPr>
        <w:t>Who do I screen?</w:t>
      </w:r>
      <w:r>
        <w:t xml:space="preserve"> Buyer, consignee and other relevant parties, at intake and again before shipment.</w:t>
      </w:r>
    </w:p>
    <w:p>
      <w:r>
        <w:rPr>
          <w:b/>
        </w:rPr>
        <w:t>What if there is a hit?</w:t>
      </w:r>
      <w:r>
        <w:t xml:space="preserve"> Escalate and do not proceed; a denied party must not be served.</w:t>
      </w:r>
    </w:p>
    <w:p/>
    <w:p/>
    <w:p>
      <w:pPr>
        <w:pStyle w:val="Heading2"/>
      </w:pPr>
      <w:r>
        <w:t>Sources &amp; Verification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Source</w:t>
            </w:r>
          </w:p>
        </w:tc>
        <w:tc>
          <w:tcPr>
            <w:tcW w:type="dxa" w:w="1234"/>
          </w:tcPr>
          <w:p>
            <w:r>
              <w:t>Organization</w:t>
            </w:r>
          </w:p>
        </w:tc>
        <w:tc>
          <w:tcPr>
            <w:tcW w:type="dxa" w:w="1234"/>
          </w:tcPr>
          <w:p>
            <w:r>
              <w:t>Market</w:t>
            </w:r>
          </w:p>
        </w:tc>
        <w:tc>
          <w:tcPr>
            <w:tcW w:type="dxa" w:w="1234"/>
          </w:tcPr>
          <w:p>
            <w:r>
              <w:t>Tier</w:t>
            </w:r>
          </w:p>
        </w:tc>
        <w:tc>
          <w:tcPr>
            <w:tcW w:type="dxa" w:w="1234"/>
          </w:tcPr>
          <w:p>
            <w:r>
              <w:t>Confidence</w:t>
            </w:r>
          </w:p>
        </w:tc>
        <w:tc>
          <w:tcPr>
            <w:tcW w:type="dxa" w:w="1234"/>
          </w:tcPr>
          <w:p>
            <w:r>
              <w:t>URL</w:t>
            </w:r>
          </w:p>
        </w:tc>
        <w:tc>
          <w:tcPr>
            <w:tcW w:type="dxa" w:w="1234"/>
          </w:tcPr>
          <w:p>
            <w:r>
              <w:t>Supported facts</w:t>
            </w:r>
          </w:p>
        </w:tc>
      </w:tr>
      <w:tr>
        <w:tc>
          <w:tcPr>
            <w:tcW w:type="dxa" w:w="1234"/>
          </w:tcPr>
          <w:p>
            <w:r>
              <w:t>两用物项出口管制条例（国务院令第792号）</w:t>
            </w:r>
          </w:p>
        </w:tc>
        <w:tc>
          <w:tcPr>
            <w:tcW w:type="dxa" w:w="1234"/>
          </w:tcPr>
          <w:p>
            <w:r>
              <w:t>中华人民共和国商务部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T1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http://www.mofcom.gov.cn/zcfb/zgdwjjmywg/art/2025/art_e63af2ce2c7e406394a2faf84a9b4738.html</w:t>
            </w:r>
          </w:p>
        </w:tc>
        <w:tc>
          <w:tcPr>
            <w:tcW w:type="dxa" w:w="1234"/>
          </w:tcPr>
          <w:p>
            <w:r>
              <w:t>最终用户用途证明, 保存5年, 管控名单</w:t>
            </w:r>
          </w:p>
        </w:tc>
      </w:tr>
      <w:tr>
        <w:tc>
          <w:tcPr>
            <w:tcW w:type="dxa" w:w="1234"/>
          </w:tcPr>
          <w:p>
            <w:r>
              <w:t>两用物项出口管制内部合规指南</w:t>
            </w:r>
          </w:p>
        </w:tc>
        <w:tc>
          <w:tcPr>
            <w:tcW w:type="dxa" w:w="1234"/>
          </w:tcPr>
          <w:p>
            <w:r>
              <w:t>中华人民共和国商务部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T1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https://www.mofcom.gov.cn/cms_files/filemanager/1077459795/attach/20239/2021070615181087.pdf</w:t>
            </w:r>
          </w:p>
        </w:tc>
        <w:tc>
          <w:tcPr>
            <w:tcW w:type="dxa" w:w="1234"/>
          </w:tcPr>
          <w:p>
            <w:r>
              <w:t>订单筛查系统, 最终用途声明, 合规体系</w:t>
            </w:r>
          </w:p>
        </w:tc>
      </w:tr>
      <w:tr>
        <w:tc>
          <w:tcPr>
            <w:tcW w:type="dxa" w:w="1234"/>
          </w:tcPr>
          <w:p>
            <w:r>
              <w:t>司法部、商务部负责人就两用物项出口管制条例答记者问</w:t>
            </w:r>
          </w:p>
        </w:tc>
        <w:tc>
          <w:tcPr>
            <w:tcW w:type="dxa" w:w="1234"/>
          </w:tcPr>
          <w:p>
            <w:r>
              <w:t>中国政府网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T1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https://www.gov.cn/zhengce/202410/content_6981660.htm</w:t>
            </w:r>
          </w:p>
        </w:tc>
        <w:tc>
          <w:tcPr>
            <w:tcW w:type="dxa" w:w="1234"/>
          </w:tcPr>
          <w:p>
            <w:r>
              <w:t>全过程最终用户用途管理, 关注名单</w:t>
            </w:r>
          </w:p>
        </w:tc>
      </w:tr>
      <w:tr>
        <w:tc>
          <w:tcPr>
            <w:tcW w:type="dxa" w:w="1234"/>
          </w:tcPr>
          <w:p>
            <w:r>
              <w:t>两用物项出口管制措施专题（不予许可情形）</w:t>
            </w:r>
          </w:p>
        </w:tc>
        <w:tc>
          <w:tcPr>
            <w:tcW w:type="dxa" w:w="1234"/>
          </w:tcPr>
          <w:p>
            <w:r>
              <w:t>中华人民共和国商务部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T1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https://www.mofcom.gov.cn/cms_files/filemanager/policySummary/viewcore_148254ba99284928ae6e4f84d1d6f297.html</w:t>
            </w:r>
          </w:p>
        </w:tc>
        <w:tc>
          <w:tcPr>
            <w:tcW w:type="dxa" w:w="1234"/>
          </w:tcPr>
          <w:p>
            <w:r>
              <w:t>军事用户/管控关注名单不予许可, WMD/恐怖主义/军事用途</w:t>
            </w:r>
          </w:p>
        </w:tc>
      </w:tr>
      <w:tr>
        <w:tc>
          <w:tcPr>
            <w:tcW w:type="dxa" w:w="1234"/>
          </w:tcPr>
          <w:p>
            <w:r>
              <w:t>Ministry of Commerce (MOFCOM)</w:t>
            </w:r>
          </w:p>
        </w:tc>
        <w:tc>
          <w:tcPr>
            <w:tcW w:type="dxa" w:w="1234"/>
          </w:tcPr>
          <w:p>
            <w:r>
              <w:t>MOFCOM 商务部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T1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https://www.mofcom.gov.cn/</w:t>
            </w:r>
          </w:p>
        </w:tc>
        <w:tc>
          <w:tcPr>
            <w:tcW w:type="dxa" w:w="1234"/>
          </w:tcPr>
          <w:p>
            <w:r>
              <w:t>competent authority for export licensing and export control</w:t>
            </w:r>
          </w:p>
        </w:tc>
      </w:tr>
      <w:tr>
        <w:tc>
          <w:tcPr>
            <w:tcW w:type="dxa" w:w="1234"/>
          </w:tcPr>
          <w:p>
            <w:r>
              <w:t>Regulation (EU) 2021/821 — EU dual-use export-control regime</w:t>
            </w:r>
          </w:p>
        </w:tc>
        <w:tc>
          <w:tcPr>
            <w:tcW w:type="dxa" w:w="1234"/>
          </w:tcPr>
          <w:p>
            <w:r>
              <w:t>European Union (EUR-Lex)</w:t>
            </w:r>
          </w:p>
        </w:tc>
        <w:tc>
          <w:tcPr>
            <w:tcW w:type="dxa" w:w="1234"/>
          </w:tcPr>
          <w:p>
            <w:r>
              <w:t>EU</w:t>
            </w:r>
          </w:p>
        </w:tc>
        <w:tc>
          <w:tcPr>
            <w:tcW w:type="dxa" w:w="1234"/>
          </w:tcPr>
          <w:p>
            <w:r>
              <w:t>T1/T2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https://eur-lex.europa.eu/eli/reg/2021/821/oj</w:t>
            </w:r>
          </w:p>
        </w:tc>
        <w:tc>
          <w:tcPr>
            <w:tcW w:type="dxa" w:w="1234"/>
          </w:tcPr>
          <w:p>
            <w:r>
              <w:t>Example of a major-jurisdiction dual-use control regime and restricted-party/end-use controls relevant to screening design</w:t>
            </w:r>
          </w:p>
        </w:tc>
      </w:tr>
      <w:tr>
        <w:tc>
          <w:tcPr>
            <w:tcW w:type="dxa" w:w="1234"/>
          </w:tcPr>
          <w:p>
            <w:r>
              <w:t>US BIS Entity List — restricted-party screening example</w:t>
            </w:r>
          </w:p>
        </w:tc>
        <w:tc>
          <w:tcPr>
            <w:tcW w:type="dxa" w:w="1234"/>
          </w:tcPr>
          <w:p>
            <w:r>
              <w:t>US Bureau of Industry and Security (BIS)</w:t>
            </w:r>
          </w:p>
        </w:tc>
        <w:tc>
          <w:tcPr>
            <w:tcW w:type="dxa" w:w="1234"/>
          </w:tcPr>
          <w:p>
            <w:r>
              <w:t>US</w:t>
            </w:r>
          </w:p>
        </w:tc>
        <w:tc>
          <w:tcPr>
            <w:tcW w:type="dxa" w:w="1234"/>
          </w:tcPr>
          <w:p>
            <w:r>
              <w:t>T1/T2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https://www.bis.doc.gov/index.php/policy-guidance/lists-of-parties-of-concern/entity-list</w:t>
            </w:r>
          </w:p>
        </w:tc>
        <w:tc>
          <w:tcPr>
            <w:tcW w:type="dxa" w:w="1234"/>
          </w:tcPr>
          <w:p>
            <w:r>
              <w:t>Public restricted-party list illustrating denied-entity screening before shipment</w:t>
            </w:r>
          </w:p>
        </w:tc>
      </w:tr>
      <w:tr>
        <w:tc>
          <w:tcPr>
            <w:tcW w:type="dxa" w:w="1234"/>
          </w:tcPr>
          <w:p>
            <w:r>
              <w:t>US OFAC SDN List — sanctions screening</w:t>
            </w:r>
          </w:p>
        </w:tc>
        <w:tc>
          <w:tcPr>
            <w:tcW w:type="dxa" w:w="1234"/>
          </w:tcPr>
          <w:p>
            <w:r>
              <w:t>US Office of Foreign Assets Control (OFAC)</w:t>
            </w:r>
          </w:p>
        </w:tc>
        <w:tc>
          <w:tcPr>
            <w:tcW w:type="dxa" w:w="1234"/>
          </w:tcPr>
          <w:p>
            <w:r>
              <w:t>US</w:t>
            </w:r>
          </w:p>
        </w:tc>
        <w:tc>
          <w:tcPr>
            <w:tcW w:type="dxa" w:w="1234"/>
          </w:tcPr>
          <w:p>
            <w:r>
              <w:t>T1/T2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https://home.treasury.gov/policy-issues/financial-sanctions/specially-designated-nationals-and-blocked-persons-list-sdn-human-readable-lists</w:t>
            </w:r>
          </w:p>
        </w:tc>
        <w:tc>
          <w:tcPr>
            <w:tcW w:type="dxa" w:w="1234"/>
          </w:tcPr>
          <w:p>
            <w:r>
              <w:t>Specially Designated Nationals list as a sanctions-screening data source; jurisdiction-specific, not a global blacklist</w:t>
            </w:r>
          </w:p>
        </w:tc>
      </w:tr>
    </w:tbl>
    <w:p>
      <w:pPr>
        <w:pStyle w:val="Heading2"/>
      </w:pPr>
      <w:r>
        <w:t>Editorial Review</w:t>
      </w:r>
    </w:p>
    <w:p>
      <w:pPr>
        <w:pStyle w:val="ListBullet"/>
      </w:pPr>
      <w:r>
        <w:rPr>
          <w:b/>
        </w:rPr>
        <w:t>Author</w:t>
      </w:r>
      <w:r>
        <w:t>: AutoBridge Export Editorial Team · [authors](/authors/) ·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>: 2026-09-05</w:t>
      </w:r>
    </w:p>
    <w:p>
      <w:pPr>
        <w:pStyle w:val="ListBullet"/>
      </w:pPr>
      <w:r>
        <w:rPr>
          <w:b/>
        </w:rPr>
        <w:t>Reference market</w:t>
      </w:r>
      <w:r>
        <w:t>: CN出口管制+国际制裁框架</w:t>
      </w:r>
    </w:p>
    <w:p>
      <w:pPr>
        <w:pStyle w:val="ListBullet"/>
      </w:pPr>
      <w:r>
        <w:rPr>
          <w:b/>
        </w:rPr>
        <w:t>Verification method</w:t>
      </w:r>
      <w:r>
        <w:t>: Desk research against the sources below; Chinese-market reference specification only unless a separate export market is explicitly cited.</w:t>
      </w:r>
    </w:p>
    <w:p>
      <w:pPr>
        <w:pStyle w:val="ListBullet"/>
      </w:pPr>
      <w:r>
        <w:rPr>
          <w:b/>
        </w:rPr>
        <w:t>Transparency</w:t>
      </w:r>
      <w:r>
        <w:t>: AI-assisted drafting was used. This article is based on desk research and automated QA. No first-hand testing is claimed unless explicitly documented; confirm time-sensitive and destination-specific requirements before transacting.</w:t>
      </w:r>
    </w:p>
    <w:p/>
    <w:p>
      <w:pPr>
        <w:pStyle w:val="Heading2"/>
      </w:pPr>
      <w:r>
        <w:t>Image Record</w:t>
      </w:r>
    </w:p>
    <w:p>
      <w:pPr>
        <w:pStyle w:val="ListBullet"/>
      </w:pPr>
      <w:r>
        <w:rPr>
          <w:b/>
        </w:rPr>
        <w:t>IMAGE_ASSET_PATH</w:t>
      </w:r>
      <w:r>
        <w:t>: none secured in repository</w:t>
      </w:r>
    </w:p>
    <w:p>
      <w:pPr>
        <w:pStyle w:val="ListBullet"/>
      </w:pPr>
      <w:r>
        <w:rPr>
          <w:b/>
        </w:rPr>
        <w:t>ORIGINAL_IMAGE_URL</w:t>
      </w:r>
      <w:r>
        <w:t>: not captured</w:t>
      </w:r>
    </w:p>
    <w:p>
      <w:pPr>
        <w:pStyle w:val="ListBullet"/>
      </w:pPr>
      <w:r>
        <w:rPr>
          <w:b/>
        </w:rPr>
        <w:t>SOURCE_PAGE</w:t>
      </w:r>
      <w:r>
        <w:t>: not captured</w:t>
      </w:r>
    </w:p>
    <w:p>
      <w:pPr>
        <w:pStyle w:val="ListBullet"/>
      </w:pPr>
      <w:r>
        <w:rPr>
          <w:b/>
        </w:rPr>
        <w:t>SOURCE_FILE_PAGE</w:t>
      </w:r>
      <w:r>
        <w:t>: not applicable — no candidate media file identified (no licence to assert)</w:t>
      </w:r>
    </w:p>
    <w:p>
      <w:pPr>
        <w:pStyle w:val="ListBullet"/>
      </w:pPr>
      <w:r>
        <w:rPr>
          <w:b/>
        </w:rPr>
        <w:t>RIGHTS_HOLDER</w:t>
      </w:r>
      <w:r>
        <w:t>: unconfirmed</w:t>
      </w:r>
    </w:p>
    <w:p>
      <w:pPr>
        <w:pStyle w:val="ListBullet"/>
      </w:pPr>
      <w:r>
        <w:rPr>
          <w:b/>
        </w:rPr>
        <w:t>LICENSE_OR_USAGE_BASIS</w:t>
      </w:r>
      <w:r>
        <w:t>: none secured — OEM webpage presence is not a commercial reuse licence</w:t>
      </w:r>
    </w:p>
    <w:p>
      <w:pPr>
        <w:pStyle w:val="ListBullet"/>
      </w:pPr>
      <w:r>
        <w:rPr>
          <w:b/>
        </w:rPr>
        <w:t>CHECKED_DATE</w:t>
      </w:r>
      <w:r>
        <w:t>: 2026-09-06</w:t>
      </w:r>
    </w:p>
    <w:p>
      <w:pPr>
        <w:pStyle w:val="ListBullet"/>
      </w:pPr>
      <w:r>
        <w:rPr>
          <w:b/>
        </w:rPr>
        <w:t>MODEL_TOPIC_MATCH</w:t>
      </w:r>
      <w:r>
        <w:t>: exact Export Compliance and Sanctions Screening for Chinese Vehicle Exporters</w:t>
      </w:r>
    </w:p>
    <w:p>
      <w:pPr>
        <w:pStyle w:val="ListBullet"/>
      </w:pPr>
      <w:r>
        <w:rPr>
          <w:b/>
        </w:rPr>
        <w:t>IMAGE_SCOPE_NOTE</w:t>
      </w:r>
      <w:r>
        <w:t>: image must match the exact model family/topic only; must not imply a specific trim, model year, real VIN, in-person inspection or an actual transaction</w:t>
      </w:r>
    </w:p>
    <w:p>
      <w:pPr>
        <w:pStyle w:val="ListBullet"/>
      </w:pPr>
      <w:r>
        <w:rPr>
          <w:b/>
        </w:rPr>
        <w:t>IMAGE_RIGHTS_STATUS</w:t>
      </w:r>
      <w:r>
        <w:t>: FAIL</w:t>
      </w:r>
    </w:p>
    <w:p>
      <w:pPr>
        <w:pStyle w:val="ListBullet"/>
      </w:pPr>
      <w:r>
        <w:rPr>
          <w:b/>
        </w:rPr>
        <w:t>BLOCK_REASON</w:t>
      </w:r>
      <w:r>
        <w:t>: No reusable image could be secured: Wikimedia Commons/Flickr are unreachable from the research environment, stock libraries require authenticated API/licence access, and an OEM webpage image is NOT a commercial reuse grant. No AutoBridge-owned photo exists. Record kept FAIL rather than asserted.</w:t>
      </w:r>
    </w:p>
    <w:p>
      <w:pPr>
        <w:pStyle w:val="ListBullet"/>
      </w:pPr>
      <w:r>
        <w:rPr>
          <w:b/>
        </w:rPr>
        <w:t>ALT (12 languages)</w:t>
      </w:r>
      <w:r>
        <w:t>:</w:t>
      </w:r>
    </w:p>
    <w:p>
      <w:pPr>
        <w:pStyle w:val="ListBullet"/>
      </w:pPr>
      <w:r>
        <w:rPr>
          <w:b/>
        </w:rPr>
        <w:t>EN</w:t>
      </w:r>
      <w:r>
        <w:t>: export compliance screening, Chinese-market procurement guide export buyer reference</w:t>
      </w:r>
    </w:p>
    <w:p>
      <w:pPr>
        <w:pStyle w:val="ListBullet"/>
      </w:pPr>
      <w:r>
        <w:rPr>
          <w:b/>
        </w:rPr>
        <w:t>FR</w:t>
      </w:r>
      <w:r>
        <w:t>: export compliance screening, procurement guide du marché chinois, référence acheteur export</w:t>
      </w:r>
    </w:p>
    <w:p>
      <w:pPr>
        <w:pStyle w:val="ListBullet"/>
      </w:pPr>
      <w:r>
        <w:rPr>
          <w:b/>
        </w:rPr>
        <w:t>DE</w:t>
      </w:r>
      <w:r>
        <w:t>: export compliance screening, Chinesischer procurement guide, Referenz für Exportkäufer</w:t>
      </w:r>
    </w:p>
    <w:p>
      <w:pPr>
        <w:pStyle w:val="ListBullet"/>
      </w:pPr>
      <w:r>
        <w:rPr>
          <w:b/>
        </w:rPr>
        <w:t>ES</w:t>
      </w:r>
      <w:r>
        <w:t>: export compliance screening, procurement guide del mercado chino, referencia para comprador de exportación</w:t>
      </w:r>
    </w:p>
    <w:p>
      <w:pPr>
        <w:pStyle w:val="ListBullet"/>
      </w:pPr>
      <w:r>
        <w:rPr>
          <w:b/>
        </w:rPr>
        <w:t>PT</w:t>
      </w:r>
      <w:r>
        <w:t>: export compliance screening, procurement guide do mercado chinês, referência ao comprador de exportação</w:t>
      </w:r>
    </w:p>
    <w:p>
      <w:pPr>
        <w:pStyle w:val="ListBullet"/>
      </w:pPr>
      <w:r>
        <w:rPr>
          <w:b/>
        </w:rPr>
        <w:t>JA</w:t>
      </w:r>
      <w:r>
        <w:t>: export compliance screening, 中国市場procurement guide・輸出バイヤー向けリファレンス</w:t>
      </w:r>
    </w:p>
    <w:p>
      <w:pPr>
        <w:pStyle w:val="ListBullet"/>
      </w:pPr>
      <w:r>
        <w:rPr>
          <w:b/>
        </w:rPr>
        <w:t>KO</w:t>
      </w:r>
      <w:r>
        <w:t>: export compliance screening, 중국 시장 procurement guide, 수출 바이어 참고 자료</w:t>
      </w:r>
    </w:p>
    <w:p>
      <w:pPr>
        <w:pStyle w:val="ListBullet"/>
      </w:pPr>
      <w:r>
        <w:rPr>
          <w:b/>
        </w:rPr>
        <w:t>VI</w:t>
      </w:r>
      <w:r>
        <w:t>: export compliance screening, procurement guide thị trường Trung Quốc, tham chiếu cho người mua xuất khẩu</w:t>
      </w:r>
    </w:p>
    <w:p>
      <w:pPr>
        <w:pStyle w:val="ListBullet"/>
      </w:pPr>
      <w:r>
        <w:rPr>
          <w:b/>
        </w:rPr>
        <w:t>TH</w:t>
      </w:r>
      <w:r>
        <w:t>: export compliance screening, procurement guide ตลาดจีน เอกสารอ้างอิงสำหรับผู้ซื้อส่งออก</w:t>
      </w:r>
    </w:p>
    <w:p>
      <w:pPr>
        <w:pStyle w:val="ListBullet"/>
      </w:pPr>
      <w:r>
        <w:rPr>
          <w:b/>
        </w:rPr>
        <w:t>ID</w:t>
      </w:r>
      <w:r>
        <w:t>: export compliance screening, procurement guide pasar Tiongkok, referensi pembeli ekspor</w:t>
      </w:r>
    </w:p>
    <w:p>
      <w:pPr>
        <w:pStyle w:val="ListBullet"/>
      </w:pPr>
      <w:r>
        <w:rPr>
          <w:b/>
        </w:rPr>
        <w:t>AR</w:t>
      </w:r>
      <w:r>
        <w:t>: export compliance screening, procurement guide السوق الصيني، مرجع لمشتري التصدير</w:t>
      </w:r>
    </w:p>
    <w:p>
      <w:pPr>
        <w:pStyle w:val="ListBullet"/>
      </w:pPr>
      <w:r>
        <w:rPr>
          <w:b/>
        </w:rPr>
        <w:t>ZH</w:t>
      </w:r>
      <w:r>
        <w:t>: export compliance screening, 中国市场procurement guide·出口采购参考</w:t>
      </w:r>
    </w:p>
    <w:p/>
    <w:p/>
    <w:p>
      <w:r>
        <w:t>#AutoBridge #ChinaCarExport #ExportProcurement #ExportControl #Sanctions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