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a Vehicle Into the UAE: Clearance-to-Registration Sequence and What You Must Re-Verify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UAE Vehicle Import &amp; RTA Registration Documents Guide</w:t>
      </w:r>
    </w:p>
    <w:p>
      <w:pPr>
        <w:pStyle w:val="ListBullet"/>
      </w:pPr>
      <w:r>
        <w:rPr>
          <w:b/>
        </w:rPr>
        <w:t>Meta Description</w:t>
      </w:r>
      <w:r>
        <w:t>: Sequence a UAE vehicle import correctly — customs clearance documents, GCC/GSO conformity, then RTA registration (Mulkiya). Reported duty/VAT figures are flagged for official UAE confirmation rather than stated as fixed.</w:t>
      </w:r>
    </w:p>
    <w:p>
      <w:pPr>
        <w:pStyle w:val="ListBullet"/>
      </w:pPr>
      <w:r>
        <w:rPr>
          <w:b/>
        </w:rPr>
        <w:t>Suggested URL</w:t>
      </w:r>
      <w:r>
        <w:t>: /guides/uae-vehicle-import-registration-documents/</w:t>
      </w:r>
    </w:p>
    <w:p>
      <w:pPr>
        <w:pStyle w:val="ListBullet"/>
      </w:pPr>
      <w:r>
        <w:rPr>
          <w:b/>
        </w:rPr>
        <w:t>H1</w:t>
      </w:r>
      <w:r>
        <w:t>: UAE Vehicle Import: From Port Clearance to RTA Registration — Documents and Verification</w:t>
      </w:r>
    </w:p>
    <w:p>
      <w:pPr>
        <w:pStyle w:val="ListBullet"/>
      </w:pPr>
      <w:r>
        <w:rPr>
          <w:b/>
        </w:rPr>
        <w:t>Primary Keyword</w:t>
      </w:r>
      <w:r>
        <w:t>: uae vehicle import registration documents rta process</w:t>
      </w:r>
    </w:p>
    <w:p>
      <w:pPr>
        <w:pStyle w:val="ListBullet"/>
      </w:pPr>
      <w:r>
        <w:rPr>
          <w:b/>
        </w:rPr>
        <w:t>Secondary Search Terms</w:t>
      </w:r>
      <w:r>
        <w:t>: Dubai customs vehicle import, UAE Mulkiya registration, GCC GSO vehicle conformity, UAE car import duty VAT, MoIAT vehicle import</w:t>
      </w:r>
    </w:p>
    <w:p>
      <w:pPr>
        <w:pStyle w:val="ListBullet"/>
      </w:pPr>
      <w:r>
        <w:rPr>
          <w:b/>
        </w:rPr>
        <w:t>Internal Link Suggestions</w:t>
      </w:r>
      <w:r>
        <w:t>: /guides/vehicle-coc-type-approval-dossier/ ; /guides/china-vehicle-export-license-customs-documents/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clearance→RTA sequence diagram; UAE document checklist; emirate/federal authority map</w:t>
      </w:r>
    </w:p>
    <w:p>
      <w:pPr>
        <w:pStyle w:val="ListBullet"/>
      </w:pPr>
      <w:r>
        <w:rPr>
          <w:b/>
        </w:rPr>
        <w:t>ALT Suggestions</w:t>
      </w:r>
      <w:r>
        <w:t>: "UAE customs to RTA registration sequence"; "UAE vehicle import document checklist"</w:t>
      </w:r>
    </w:p>
    <w:p/>
    <w:p>
      <w:pPr>
        <w:pStyle w:val="Heading2"/>
      </w:pPr>
      <w:r>
        <w:t>Scope and Evidence Boundary (read first)</w:t>
      </w:r>
    </w:p>
    <w:p>
      <w:r>
        <w:t xml:space="preserve">This guide uses the </w:t>
      </w:r>
      <w:r>
        <w:rPr>
          <w:b/>
        </w:rPr>
        <w:t>UAE as the worked example</w:t>
      </w:r>
      <w:r>
        <w:t xml:space="preserve">; the sequencing logic transfers to other GCC markets, but each emirate and each GCC state applies its own forms and fees. </w:t>
      </w:r>
      <w:r>
        <w:rPr>
          <w:b/>
        </w:rPr>
        <w:t>No UAE federal-customs or RTA primary page was captured in this package.</w:t>
      </w:r>
      <w:r>
        <w:t xml:space="preserve"> Accordingly, concrete duty/VAT/fee figures below are </w:t>
      </w:r>
      <w:r>
        <w:rPr>
          <w:b/>
        </w:rPr>
        <w:t>reported by freight-forwarder guides and are TIME-SENSITIVE verification items, not fixed facts</w:t>
      </w:r>
      <w:r>
        <w:t xml:space="preserve"> — obtain the current values from the UAE federal customs authority and the relevant emirate's RTA before committing a landed-cost model.</w:t>
      </w:r>
    </w:p>
    <w:p/>
    <w:p>
      <w:pPr>
        <w:pStyle w:val="Heading2"/>
      </w:pPr>
      <w:r>
        <w:t>The Sequence Buyers Most Often Get Backwards</w:t>
      </w:r>
    </w:p>
    <w:p>
      <w:r>
        <w:t xml:space="preserve">The correct order is </w:t>
      </w:r>
      <w:r>
        <w:rPr>
          <w:b/>
        </w:rPr>
        <w:t>clear customs first, register second</w:t>
      </w:r>
      <w:r>
        <w:t>:</w:t>
      </w:r>
    </w:p>
    <w:p>
      <w:pPr>
        <w:pStyle w:val="ListNumber"/>
      </w:pPr>
      <w:r>
        <w:rPr>
          <w:b/>
        </w:rPr>
        <w:t>Port/customs clearance</w:t>
      </w:r>
      <w:r>
        <w:t xml:space="preserve"> — present trade documents and pay applicable customs charges;</w:t>
      </w:r>
    </w:p>
    <w:p>
      <w:pPr>
        <w:pStyle w:val="ListNumber"/>
      </w:pPr>
      <w:r>
        <w:rPr>
          <w:b/>
        </w:rPr>
        <w:t>Conformity/compliance</w:t>
      </w:r>
      <w:r>
        <w:t xml:space="preserve"> — the vehicle is expected to meet GCC/GSO standardization requirements to proceed (note: the former ESMA functions were folded into </w:t>
      </w:r>
      <w:r>
        <w:rPr>
          <w:b/>
        </w:rPr>
        <w:t>MoIAT</w:t>
      </w:r>
      <w:r>
        <w:t>; confirm the current conformity route officially);</w:t>
      </w:r>
    </w:p>
    <w:p>
      <w:pPr>
        <w:pStyle w:val="ListNumber"/>
      </w:pPr>
      <w:r>
        <w:rPr>
          <w:b/>
        </w:rPr>
        <w:t>RTA registration</w:t>
      </w:r>
      <w:r>
        <w:t xml:space="preserve"> — only after release does the buyer apply to the Roads &amp; Transport Authority for registration and the </w:t>
      </w:r>
      <w:r>
        <w:rPr>
          <w:b/>
        </w:rPr>
        <w:t>Mulkiya</w:t>
      </w:r>
      <w:r>
        <w:t xml:space="preserve"> (vehicle registration card), requiring insurance, vehicle inspection and identity documents.</w:t>
      </w:r>
    </w:p>
    <w:p>
      <w:r>
        <w:t>Registering before clearing customs is not possible; under-preparing conformity documents is what most often stalls step 1→2.</w:t>
      </w:r>
    </w:p>
    <w:p/>
    <w:p>
      <w:pPr>
        <w:pStyle w:val="Heading2"/>
      </w:pPr>
      <w:r>
        <w:t>The Clearance Document Set</w:t>
      </w:r>
    </w:p>
    <w:p>
      <w:r>
        <w:t>Reported requirements (forwarder guidance, to be confirmed with the clearing emirate):</w:t>
      </w:r>
    </w:p>
    <w:p>
      <w:pPr>
        <w:pStyle w:val="ListBullet"/>
      </w:pPr>
      <w:r>
        <w:rPr>
          <w:b/>
        </w:rPr>
        <w:t>Commercial invoice, packing list, bill of lading, certificate of origin.</w:t>
      </w:r>
    </w:p>
    <w:p>
      <w:pPr>
        <w:pStyle w:val="ListBullet"/>
      </w:pPr>
      <w:r>
        <w:t xml:space="preserve">Forwarder guidance for Dubai clearance recommends keeping the </w:t>
      </w:r>
      <w:r>
        <w:rPr>
          <w:b/>
        </w:rPr>
        <w:t>invoice consistent with the B/L and certificate of origin</w:t>
      </w:r>
      <w:r>
        <w:t xml:space="preserve"> (party names, VIN, value, origin) — reconcile these documents to reduce the risk of a hold.</w:t>
      </w:r>
    </w:p>
    <w:p>
      <w:pPr>
        <w:pStyle w:val="ListBullet"/>
      </w:pPr>
      <w:r>
        <w:t>Export-side documents from China (licence, declaration, EV battery papers) support, but do not replace, UAE-side filings.</w:t>
      </w:r>
    </w:p>
    <w:p/>
    <w:p>
      <w:pPr>
        <w:pStyle w:val="Heading2"/>
      </w:pPr>
      <w:r>
        <w:t>GCC/GSO Conformity: the Gate Between Clearance and Registration</w:t>
      </w:r>
    </w:p>
    <w:p>
      <w:pPr>
        <w:pStyle w:val="ListBullet"/>
      </w:pPr>
      <w:r>
        <w:t xml:space="preserve">Vehicles are expected to meet </w:t>
      </w:r>
      <w:r>
        <w:rPr>
          <w:b/>
        </w:rPr>
        <w:t>GCC Standardization (GSO)</w:t>
      </w:r>
      <w:r>
        <w:t xml:space="preserve"> conformity requirements; understand which body now issues/oversees the relevant certificate after the ESMA→MoIAT reorganisation.</w:t>
      </w:r>
    </w:p>
    <w:p>
      <w:pPr>
        <w:pStyle w:val="ListBullet"/>
      </w:pPr>
      <w:r>
        <w:t xml:space="preserve">A </w:t>
      </w:r>
      <w:r>
        <w:rPr>
          <w:b/>
        </w:rPr>
        <w:t>Chinese domestic certificate of conformity is not GCC market access</w:t>
      </w:r>
      <w:r>
        <w:t xml:space="preserve"> — confirm the exact GCC certificate/type-approval route for the model before shipment (see the CoC/type-approval dossier guide).</w:t>
      </w:r>
    </w:p>
    <w:p>
      <w:pPr>
        <w:pStyle w:val="ListBullet"/>
      </w:pPr>
      <w:r>
        <w:t>For EVs, confirm charger/plug and standards expectations separately; do not assume China-spec hardware satisfies local requirements.</w:t>
      </w:r>
    </w:p>
    <w:p/>
    <w:p>
      <w:pPr>
        <w:pStyle w:val="Heading2"/>
      </w:pPr>
      <w:r>
        <w:t>Duty and VAT: Reported Figures, Not Fixed Numbers</w:t>
      </w:r>
    </w:p>
    <w:p>
      <w:pPr>
        <w:pStyle w:val="ListBullet"/>
      </w:pPr>
      <w:r>
        <w:t xml:space="preserve">Forwarder guides commonly cite </w:t>
      </w:r>
      <w:r>
        <w:rPr>
          <w:b/>
        </w:rPr>
        <w:t>about 5% customs duty on CIF value (GCC common external tariff context) and about 5% VAT</w:t>
      </w:r>
      <w:r>
        <w:t>.</w:t>
      </w:r>
    </w:p>
    <w:p>
      <w:pPr>
        <w:pStyle w:val="ListBullet"/>
      </w:pPr>
      <w:r>
        <w:t xml:space="preserve">Treat both as </w:t>
      </w:r>
      <w:r>
        <w:rPr>
          <w:b/>
        </w:rPr>
        <w:t>reported, time-sensitive values</w:t>
      </w:r>
      <w:r>
        <w:t xml:space="preserve">: the applicable rate can depend on vehicle type, HS classification, free-zone vs mainland handling and current federal rules. </w:t>
      </w:r>
      <w:r>
        <w:rPr>
          <w:b/>
        </w:rPr>
        <w:t>Classify the exact HS code → obtain the current customs tariff line → confirm VAT treatment on the applicable customs basis.</w:t>
      </w:r>
      <w:r>
        <w:t xml:space="preserve"> Do not bake 5%/5% into a customer quote as guaranteed.</w:t>
      </w:r>
    </w:p>
    <w:p>
      <w:pPr>
        <w:pStyle w:val="ListBullet"/>
      </w:pPr>
      <w:r>
        <w:t xml:space="preserve">The UAE has signalled a </w:t>
      </w:r>
      <w:r>
        <w:rPr>
          <w:b/>
        </w:rPr>
        <w:t>national EV policy</w:t>
      </w:r>
      <w:r>
        <w:t xml:space="preserve"> with directional incentives (e.g., registration/parking and charging/toll measures); these are policy-direction and time-sensitive — confirm current availability and eligibility officially.</w:t>
      </w:r>
    </w:p>
    <w:p/>
    <w:p>
      <w:pPr>
        <w:pStyle w:val="Heading2"/>
      </w:pPr>
      <w:r>
        <w:t>The RTA Registration Step (Mulkiya)</w:t>
      </w:r>
    </w:p>
    <w:p>
      <w:r>
        <w:t xml:space="preserve">After customs release, the buyer applies to the RTA with (reported): valid </w:t>
      </w:r>
      <w:r>
        <w:rPr>
          <w:b/>
        </w:rPr>
        <w:t>insurance</w:t>
      </w:r>
      <w:r>
        <w:t xml:space="preserve">, a </w:t>
      </w:r>
      <w:r>
        <w:rPr>
          <w:b/>
        </w:rPr>
        <w:t>vehicle inspection</w:t>
      </w:r>
      <w:r>
        <w:t xml:space="preserve">, and </w:t>
      </w:r>
      <w:r>
        <w:rPr>
          <w:b/>
        </w:rPr>
        <w:t>identity/trade-licence documents</w:t>
      </w:r>
      <w:r>
        <w:t>, then receives the Mulkiya. Fleet/company registrations differ from individual registrations; confirm whether a mainland or free-zone entity changes the paperwork.</w:t>
      </w:r>
    </w:p>
    <w:p/>
    <w:p>
      <w:pPr>
        <w:pStyle w:val="Heading2"/>
      </w:pPr>
      <w:r>
        <w:t>What This Guide Recommends You Confirm Before Payment</w:t>
      </w:r>
    </w:p>
    <w:p>
      <w:pPr>
        <w:pStyle w:val="ListNumber"/>
      </w:pPr>
      <w:r>
        <w:rPr>
          <w:b/>
        </w:rPr>
        <w:t>Emirate of entry</w:t>
      </w:r>
      <w:r>
        <w:t xml:space="preserve"> and that emirate's current customs document/fee schedule.</w:t>
      </w:r>
    </w:p>
    <w:p>
      <w:pPr>
        <w:pStyle w:val="ListNumber"/>
      </w:pPr>
      <w:r>
        <w:rPr>
          <w:b/>
        </w:rPr>
        <w:t>Exact HS code</w:t>
      </w:r>
      <w:r>
        <w:t xml:space="preserve"> and the </w:t>
      </w:r>
      <w:r>
        <w:rPr>
          <w:b/>
        </w:rPr>
        <w:t>current duty/VAT line</w:t>
      </w:r>
      <w:r>
        <w:t xml:space="preserve"> from UAE federal customs — replace the reported 5%/5% with verified figures.</w:t>
      </w:r>
    </w:p>
    <w:p>
      <w:pPr>
        <w:pStyle w:val="ListNumber"/>
      </w:pPr>
      <w:r>
        <w:rPr>
          <w:b/>
        </w:rPr>
        <w:t>GCC/GSO conformity route and certificate</w:t>
      </w:r>
      <w:r>
        <w:t xml:space="preserve"> for the specific model (and MoIAT's current role).</w:t>
      </w:r>
    </w:p>
    <w:p>
      <w:pPr>
        <w:pStyle w:val="ListNumber"/>
      </w:pPr>
      <w:r>
        <w:rPr>
          <w:b/>
        </w:rPr>
        <w:t>Invoice/B/L/CO consistency</w:t>
      </w:r>
      <w:r>
        <w:t xml:space="preserve"> (VIN, value, parties, origin).</w:t>
      </w:r>
    </w:p>
    <w:p>
      <w:pPr>
        <w:pStyle w:val="ListNumber"/>
      </w:pPr>
      <w:r>
        <w:rPr>
          <w:b/>
        </w:rPr>
        <w:t>Insurance + inspection + identity</w:t>
      </w:r>
      <w:r>
        <w:t xml:space="preserve"> readiness for the RTA Mulkiya step; EV incentive eligibility if relevant.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 I register with RTA before or after customs?</w:t>
      </w:r>
      <w:r>
        <w:t xml:space="preserve"> After — clear customs and satisfy conformity first, then apply to the RTA for the Mulkiya.</w:t>
      </w:r>
    </w:p>
    <w:p>
      <w:r>
        <w:rPr>
          <w:b/>
        </w:rPr>
        <w:t>Is UAE customs duty exactly 5%?</w:t>
      </w:r>
      <w:r>
        <w:t xml:space="preserve"> About 5% on CIF is widely reported, but it is time- and classification-sensitive; confirm the current federal tariff line for your exact HS code before quoting.</w:t>
      </w:r>
    </w:p>
    <w:p>
      <w:r>
        <w:rPr>
          <w:b/>
        </w:rPr>
        <w:t>Does a Chinese CoC work in the UAE?</w:t>
      </w:r>
      <w:r>
        <w:t xml:space="preserve"> No — a Chinese domestic certificate is not GCC/GSO market access; arrange the correct GCC conformity route.</w:t>
      </w:r>
    </w:p>
    <w:p>
      <w:r>
        <w:rPr>
          <w:b/>
        </w:rPr>
        <w:t>What happened to ESMA?</w:t>
      </w:r>
      <w:r>
        <w:t xml:space="preserve"> Its relevant functions were folded into MoIAT; confirm the current certificate-issuing route.</w:t>
      </w:r>
    </w:p>
    <w:p>
      <w:r>
        <w:rPr>
          <w:b/>
        </w:rPr>
        <w:t>Does this guide apply to Saudi/Qatar too?</w:t>
      </w:r>
      <w:r>
        <w:t xml:space="preserve"> The sequence transfers conceptually, but forms, fees and authorities differ by GCC state — verify each country separately.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UAE vehicle clearance and registration,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UAE vehicle clearance and registration,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UAE vehicle clearance and registration,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UAE vehicle clearance and registration,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UAE vehicle clearance and registration,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輸出バイヤー向けリファレンス｜UAE vehicle clearance and registration,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자료｜UAE vehicle clearance and registration,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UAE vehicle clearance and registration,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UAE vehicle clearance and registration,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UAE vehicle clearance and registration,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UAE vehicle clearance and registration,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出口采购参考｜UAE vehicle clearance and registration,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Middle East (Saudi/Dubai) clearance &amp; taxes guide</w:t>
            </w:r>
          </w:p>
        </w:tc>
        <w:tc>
          <w:tcPr>
            <w:tcW w:type="dxa" w:w="1234"/>
          </w:tcPr>
          <w:p>
            <w:r>
              <w:t>11467 freight-forwarder material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https://m.11467.com/product/d43094475.htm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Clearance documents; invoice/B/L/CO consistency; RTA/Mulkiya sequence</w:t>
            </w:r>
          </w:p>
        </w:tc>
      </w:tr>
      <w:tr>
        <w:tc>
          <w:tcPr>
            <w:tcW w:type="dxa" w:w="1234"/>
          </w:tcPr>
          <w:p>
            <w:r>
              <w:t>NEV export-to-Dubai document list</w:t>
            </w:r>
          </w:p>
        </w:tc>
        <w:tc>
          <w:tcPr>
            <w:tcW w:type="dxa" w:w="1234"/>
          </w:tcPr>
          <w:p>
            <w:r>
              <w:t>11467 freight-forwarder material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https://m.11467.com/product/d31835834.htm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Reported ~5% duty/~5% VAT; GCC/GSO + ESMA/MoIAT note</w:t>
            </w:r>
          </w:p>
        </w:tc>
      </w:tr>
      <w:tr>
        <w:tc>
          <w:tcPr>
            <w:tcW w:type="dxa" w:w="1234"/>
          </w:tcPr>
          <w:p>
            <w:r>
              <w:t>Chinese EVs welcomed in the Middle East (UAE national EV policy)</w:t>
            </w:r>
          </w:p>
        </w:tc>
        <w:tc>
          <w:tcPr>
            <w:tcW w:type="dxa" w:w="1234"/>
          </w:tcPr>
          <w:p>
            <w:r>
              <w:t>Haiwainet / Toutiao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http://m.toutiao.com/group/7392857722481410569/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Directional national EV-policy incentives</w:t>
            </w:r>
          </w:p>
        </w:tc>
      </w:tr>
    </w:tbl>
    <w:p>
      <w:r>
        <w:t>*Evidence ceiling: sources are forwarder guides (T3) and Chinese media — no UAE federal-customs/RTA primary page was captured. Duty/VAT/fees and EV incentives are therefore presented as reported and time-sensitive, to be confirmed with UAE federal customs and the entry emirate's RTA. No fixed rate is asserted.*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Clearance of Personal Effects (import of new/used vehicles; required documents; 5% customs duty on assessed va</w:t>
            </w:r>
          </w:p>
        </w:tc>
        <w:tc>
          <w:tcPr>
            <w:tcW w:type="dxa" w:w="1234"/>
          </w:tcPr>
          <w:p>
            <w:r>
              <w:t>Dubai Customs (Government of Dubai)</w:t>
            </w:r>
          </w:p>
        </w:tc>
        <w:tc>
          <w:tcPr>
            <w:tcW w:type="dxa" w:w="1234"/>
          </w:tcPr>
          <w:p>
            <w:r>
              <w:t>DUBAI</w:t>
            </w:r>
          </w:p>
        </w:tc>
        <w:tc>
          <w:tcPr>
            <w:tcW w:type="dxa" w:w="1234"/>
          </w:tcPr>
          <w:p>
            <w:r>
              <w:t>https://www.dubaicustoms.gov.ae/en/eServices/ServicesForIndividuals/Pages/ClearanceOfPersonalEffects.aspx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5% duty on customs-assessed value; original invoice / packing list / bill of lading / passport or Emirates ID copy; inspection &amp; valuation</w:t>
            </w:r>
          </w:p>
        </w:tc>
      </w:tr>
      <w:tr>
        <w:tc>
          <w:tcPr>
            <w:tcW w:type="dxa" w:w="1234"/>
          </w:tcPr>
          <w:p>
            <w:r>
              <w:t>Mechanism for determining the value of passengers' cargo (depreciation by years) PDF</w:t>
            </w:r>
          </w:p>
        </w:tc>
        <w:tc>
          <w:tcPr>
            <w:tcW w:type="dxa" w:w="1234"/>
          </w:tcPr>
          <w:p>
            <w:r>
              <w:t>Dubai Customs</w:t>
            </w:r>
          </w:p>
        </w:tc>
        <w:tc>
          <w:tcPr>
            <w:tcW w:type="dxa" w:w="1234"/>
          </w:tcPr>
          <w:p>
            <w:r>
              <w:t>DUBAI</w:t>
            </w:r>
          </w:p>
        </w:tc>
        <w:tc>
          <w:tcPr>
            <w:tcW w:type="dxa" w:w="1234"/>
          </w:tcPr>
          <w:p>
            <w:r>
              <w:t>https://www.dubaicustoms.gov.ae/en/PoliciesAndNotices/Policies/mechanismfordeterminingthevalueofpassengerscargotr.pdf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used vehicles valued by year-based depreciation schedule before duty</w:t>
            </w:r>
          </w:p>
        </w:tc>
      </w:tr>
      <w:tr>
        <w:tc>
          <w:tcPr>
            <w:tcW w:type="dxa" w:w="1234"/>
          </w:tcPr>
          <w:p>
            <w:r>
              <w:t>E-Commerce VAT Guide (VATGEC1) §3.5.1 — import VAT 5% on customs value incl. freight, insurance, customs fees,</w:t>
            </w:r>
          </w:p>
        </w:tc>
        <w:tc>
          <w:tcPr>
            <w:tcW w:type="dxa" w:w="1234"/>
          </w:tcPr>
          <w:p>
            <w:r>
              <w:t>UAE Federal Tax Authority (FTA)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https://tax.gov.ae/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import VAT 5%; VAT base = customs value (CIF) + duty</w:t>
            </w:r>
          </w:p>
        </w:tc>
      </w:tr>
      <w:tr>
        <w:tc>
          <w:tcPr>
            <w:tcW w:type="dxa" w:w="1234"/>
          </w:tcPr>
          <w:p>
            <w:r>
              <w:t>Registering vehicles (customs certificate or transfer/export/possession certificate; Emirates ID; passport/res</w:t>
            </w:r>
          </w:p>
        </w:tc>
        <w:tc>
          <w:tcPr>
            <w:tcW w:type="dxa" w:w="1234"/>
          </w:tcPr>
          <w:p>
            <w:r>
              <w:t>UAE Federal Government Portal (u.ae)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https://u.ae/en/information-and-services/transportation/driving-and-licensing/registering-vehicles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registration document set; customs certificate is the bridge from clearance to registration</w:t>
            </w:r>
          </w:p>
        </w:tc>
      </w:tr>
      <w:tr>
        <w:tc>
          <w:tcPr>
            <w:tcW w:type="dxa" w:w="1234"/>
          </w:tcPr>
          <w:p>
            <w:r>
              <w:t>Issue UAE Certificates of Conformity for products subject to technical regulations (ECAS; successor to ESMA)</w:t>
            </w:r>
          </w:p>
        </w:tc>
        <w:tc>
          <w:tcPr>
            <w:tcW w:type="dxa" w:w="1234"/>
          </w:tcPr>
          <w:p>
            <w:r>
              <w:t>Ministry of Industry and Advanced Technology (Mo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https://www.moiat.gov.ae/en/services/issue-conformity-certificates-for-regulated-products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MoIAT issues UAE CoC for regulated products incl. vehicles/parts; absorbed ESMA</w:t>
            </w:r>
          </w:p>
        </w:tc>
      </w:tr>
      <w:tr>
        <w:tc>
          <w:tcPr>
            <w:tcW w:type="dxa" w:w="1234"/>
          </w:tcPr>
          <w:p>
            <w:r>
              <w:t>List of GSO Technical Regulations for Motor Vehicles (MY2027-D3), incl. UAE Euro-6b timeline</w:t>
            </w:r>
          </w:p>
        </w:tc>
        <w:tc>
          <w:tcPr>
            <w:tcW w:type="dxa" w:w="1234"/>
          </w:tcPr>
          <w:p>
            <w:r>
              <w:t>GCC Standardization Organization (GSO)</w:t>
            </w:r>
          </w:p>
        </w:tc>
        <w:tc>
          <w:tcPr>
            <w:tcW w:type="dxa" w:w="1234"/>
          </w:tcPr>
          <w:p>
            <w:r>
              <w:t>GCC</w:t>
            </w:r>
          </w:p>
        </w:tc>
        <w:tc>
          <w:tcPr>
            <w:tcW w:type="dxa" w:w="1234"/>
          </w:tcPr>
          <w:p>
            <w:r>
              <w:t>https://www.gso.org.sa/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UAE new-type Euro-6b from 2026-01-01; all imports from 2027-07-01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UAE worked example (method transferable to GCC; country specifics not generalised)</w:t>
      </w:r>
    </w:p>
    <w:p>
      <w:pPr>
        <w:pStyle w:val="ListBullet"/>
      </w:pPr>
      <w:r>
        <w:rPr>
          <w:b/>
        </w:rPr>
        <w:t>Verification method</w:t>
      </w:r>
      <w:r>
        <w:t>: Forwarder-source synthesis with explicit evidence ceiling; reported fees flagged for official confirmation per PRIMARY_SOURCE_SCOPE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#UAEImport #VehicleRegistration #CustomsClearance #ExportProcurement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