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Loading Cars Into a 40HQ Container: Counts That Depend on a Load Plan, and Lashing That Holds at Sea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How Many Cars Fit in a 40HQ? Container Loading &amp; Lashing Guide</w:t>
      </w:r>
    </w:p>
    <w:p>
      <w:pPr>
        <w:pStyle w:val="ListBullet"/>
      </w:pPr>
      <w:r>
        <w:rPr>
          <w:b/>
        </w:rPr>
        <w:t>Meta Description</w:t>
      </w:r>
      <w:r>
        <w:t>: A practical 40HQ vehicle-loading guide — typical 2-SUV no-rack loading vs 4-vehicle double-rack systems, ~8 straps per car on tyres, loading sequence and a five-point stowage check before seal.</w:t>
      </w:r>
    </w:p>
    <w:p>
      <w:pPr>
        <w:pStyle w:val="ListBullet"/>
      </w:pPr>
      <w:r>
        <w:rPr>
          <w:b/>
        </w:rPr>
        <w:t>Suggested URL</w:t>
      </w:r>
      <w:r>
        <w:t>: /guides/container-vehicle-loading-lashing/</w:t>
      </w:r>
    </w:p>
    <w:p>
      <w:pPr>
        <w:pStyle w:val="ListBullet"/>
      </w:pPr>
      <w:r>
        <w:rPr>
          <w:b/>
        </w:rPr>
        <w:t>H1</w:t>
      </w:r>
      <w:r>
        <w:t>: Container Vehicle Loading and Lashing: Counts, Racks, Sequence and Pre-Seal Checks</w:t>
      </w:r>
    </w:p>
    <w:p>
      <w:pPr>
        <w:pStyle w:val="ListBullet"/>
      </w:pPr>
      <w:r>
        <w:rPr>
          <w:b/>
        </w:rPr>
        <w:t>Primary Keyword</w:t>
      </w:r>
      <w:r>
        <w:t>: how many cars fit 40hq container loading lashing</w:t>
      </w:r>
    </w:p>
    <w:p>
      <w:pPr>
        <w:pStyle w:val="ListBullet"/>
      </w:pPr>
      <w:r>
        <w:rPr>
          <w:b/>
        </w:rPr>
        <w:t>Secondary Search Terms</w:t>
      </w:r>
      <w:r>
        <w:t>: 40HQ two SUV, double deck car rack container, vehicle lashing straps wheel tie down, RoRo to container conversion, container car loading sequence</w:t>
      </w:r>
    </w:p>
    <w:p>
      <w:pPr>
        <w:pStyle w:val="ListBullet"/>
      </w:pPr>
      <w:r>
        <w:rPr>
          <w:b/>
        </w:rPr>
        <w:t>Internal Link Suggestions</w:t>
      </w:r>
      <w:r>
        <w:t>: /guides/vehicle-pre-shipment-inspection-psi/ ; /guides/ev-shipping-un3171-imdg-compliance/ ; /vehicles/changan-cs75-plus/</w:t>
      </w:r>
    </w:p>
    <w:p>
      <w:pPr>
        <w:pStyle w:val="ListBullet"/>
      </w:pPr>
      <w:r>
        <w:rPr>
          <w:b/>
        </w:rPr>
        <w:t>Image Suggestions</w:t>
      </w:r>
      <w:r>
        <w:t>: side-view stowage diagram; wheel lashing points; pull-out double rack; top+bottom loading order</w:t>
      </w:r>
    </w:p>
    <w:p>
      <w:pPr>
        <w:pStyle w:val="ListBullet"/>
      </w:pPr>
      <w:r>
        <w:rPr>
          <w:b/>
        </w:rPr>
        <w:t>ALT Suggestions</w:t>
      </w:r>
      <w:r>
        <w:t>: "40HQ two SUV side stowage"; "wheel tyre lashing eight straps"</w:t>
      </w:r>
    </w:p>
    <w:p/>
    <w:p>
      <w:pPr>
        <w:pStyle w:val="Heading2"/>
      </w:pPr>
      <w:r>
        <w:t>The Question Everyone Asks First</w:t>
      </w:r>
    </w:p>
    <w:p>
      <w:r>
        <w:t xml:space="preserve">"How many cars in a 40HQ?" has no universal answer — it is a function of </w:t>
      </w:r>
      <w:r>
        <w:rPr>
          <w:b/>
        </w:rPr>
        <w:t>vehicle dimensions, mirror-folding, rack system and the carrier's approved stowage plan</w:t>
      </w:r>
      <w:r>
        <w:t>. This guide gives realistic bands and the method; it deliberately does not promise a fixed count. Confirm every shipment against an actual measured load plan.</w:t>
      </w:r>
    </w:p>
    <w:p/>
    <w:p>
      <w:pPr>
        <w:pStyle w:val="Heading2"/>
      </w:pPr>
      <w:r>
        <w:t>Realistic Loading Bands (from documented practice)</w:t>
      </w:r>
    </w:p>
    <w:p>
      <w:pPr>
        <w:pStyle w:val="ListBullet"/>
      </w:pPr>
      <w:r>
        <w:rPr>
          <w:b/>
        </w:rPr>
        <w:t>No rack, conventional:</w:t>
      </w:r>
      <w:r>
        <w:t xml:space="preserve"> a 40HQ typically carries </w:t>
      </w:r>
      <w:r>
        <w:rPr>
          <w:b/>
        </w:rPr>
        <w:t>two mid/large SUVs</w:t>
      </w:r>
      <w:r>
        <w:t xml:space="preserve"> (examples cited are ~4.9 m class such as ID.6 / Range-Rover / Prado / Li L7-scale vehicles) (single-source forwarder diagram).</w:t>
      </w:r>
    </w:p>
    <w:p>
      <w:pPr>
        <w:pStyle w:val="ListBullet"/>
      </w:pPr>
      <w:r>
        <w:rPr>
          <w:b/>
        </w:rPr>
        <w:t>With a sliding pull-out double-deck rack:</w:t>
      </w:r>
      <w:r>
        <w:t xml:space="preserve"> an </w:t>
      </w:r>
      <w:r>
        <w:rPr>
          <w:b/>
        </w:rPr>
        <w:t>"upper 2 + lower 2" = four SUVs</w:t>
      </w:r>
      <w:r>
        <w:t xml:space="preserve"> arrangement was reported in one Yantai-port "RoRo-to-container" trial (single-source).</w:t>
      </w:r>
    </w:p>
    <w:p>
      <w:pPr>
        <w:pStyle w:val="ListBullet"/>
      </w:pPr>
      <w:r>
        <w:rPr>
          <w:b/>
        </w:rPr>
        <w:t>Sedans / China-Europe rail:</w:t>
      </w:r>
      <w:r>
        <w:t xml:space="preserve"> </w:t>
      </w:r>
      <w:r>
        <w:rPr>
          <w:b/>
        </w:rPr>
        <w:t>three vehicles per box</w:t>
      </w:r>
      <w:r>
        <w:t xml:space="preserve"> appears in China-Europe rail/sedan practice reporting (single-source).</w:t>
      </w:r>
    </w:p>
    <w:p>
      <w:r>
        <w:t>These are reference points, not entitlements: a high-roof van, a pickup or a long executive car changes the count, and rack loading needs certified equipment and an approved plan.</w:t>
      </w:r>
    </w:p>
    <w:p/>
    <w:p>
      <w:pPr>
        <w:pStyle w:val="Heading2"/>
      </w:pPr>
      <w:r>
        <w:t>Lashing: Fix Through the Tyres, Not the Body</w:t>
      </w:r>
    </w:p>
    <w:p>
      <w:r>
        <w:t>Documented practice for in-box securing:</w:t>
      </w:r>
    </w:p>
    <w:p>
      <w:pPr>
        <w:pStyle w:val="ListBullet"/>
      </w:pPr>
      <w:r>
        <w:rPr>
          <w:b/>
        </w:rPr>
        <w:t>About eight straps per vehicle</w:t>
      </w:r>
      <w:r>
        <w:t xml:space="preserve">, predominantly a </w:t>
      </w:r>
      <w:r>
        <w:rPr>
          <w:b/>
        </w:rPr>
        <w:t>wheel/tyre tie-down method</w:t>
      </w:r>
      <w:r>
        <w:t xml:space="preserve"> with multi-directional (five-direction) load paths.</w:t>
      </w:r>
    </w:p>
    <w:p>
      <w:pPr>
        <w:pStyle w:val="ListBullet"/>
      </w:pPr>
      <w:r>
        <w:t xml:space="preserve">Straps act on the </w:t>
      </w:r>
      <w:r>
        <w:rPr>
          <w:b/>
        </w:rPr>
        <w:t>tyres/wheel points</w:t>
      </w:r>
      <w:r>
        <w:t>, not on body panels, paint or suspension components — lashing to suspension or chassis in the wrong place can damage the car and still move under sea motion.</w:t>
      </w:r>
    </w:p>
    <w:p>
      <w:pPr>
        <w:pStyle w:val="ListBullet"/>
      </w:pPr>
      <w:r>
        <w:t xml:space="preserve">Use </w:t>
      </w:r>
      <w:r>
        <w:rPr>
          <w:b/>
        </w:rPr>
        <w:t>anti-slip mats/chocks and timber blocking</w:t>
      </w:r>
      <w:r>
        <w:t>, set correct strap tension, and protect any contact point.</w:t>
      </w:r>
    </w:p>
    <w:p>
      <w:r>
        <w:t>The objective is that under vessel rolling/pitching the car cannot shift, rotate or contact the box wall or the second vehicle.</w:t>
      </w:r>
    </w:p>
    <w:p/>
    <w:p>
      <w:pPr>
        <w:pStyle w:val="Heading2"/>
      </w:pPr>
      <w:r>
        <w:t>Loading Sequence (where rack work goes wrong)</w:t>
      </w:r>
    </w:p>
    <w:p>
      <w:r>
        <w:t>For rack/double-deck loads, documented port practice is:</w:t>
      </w:r>
    </w:p>
    <w:p>
      <w:pPr>
        <w:pStyle w:val="ListNumber"/>
      </w:pPr>
      <w:r>
        <w:rPr>
          <w:b/>
        </w:rPr>
        <w:t>Load the racked vehicles top-first / in the planned order</w:t>
      </w:r>
      <w:r>
        <w:t>, using a forklift to assist push-and-reposition;</w:t>
      </w:r>
    </w:p>
    <w:p>
      <w:pPr>
        <w:pStyle w:val="ListNumber"/>
      </w:pPr>
      <w:r>
        <w:t xml:space="preserve">A </w:t>
      </w:r>
      <w:r>
        <w:rPr>
          <w:b/>
        </w:rPr>
        <w:t>double-door (both-end) container allows work from both ends</w:t>
      </w:r>
      <w:r>
        <w:t xml:space="preserve"> simultaneously, shortening dwell;</w:t>
      </w:r>
    </w:p>
    <w:p>
      <w:pPr>
        <w:pStyle w:val="ListNumber"/>
      </w:pPr>
      <w:r>
        <w:t>Secure each unit progressively — never leave a vehicle unsecured while manoeuvring the next.</w:t>
      </w:r>
    </w:p>
    <w:p>
      <w:r>
        <w:t>Sequence errors (loading the lower car first and blocking rack access) are the most avoidable delay in four-car loads.</w:t>
      </w:r>
    </w:p>
    <w:p/>
    <w:p>
      <w:pPr>
        <w:pStyle w:val="Heading2"/>
      </w:pPr>
      <w:r>
        <w:t>The Five-Point Pre-Seal Stowage Check</w:t>
      </w:r>
    </w:p>
    <w:p>
      <w:r>
        <w:t>Adapted from documented container-loading method:</w:t>
      </w:r>
    </w:p>
    <w:p>
      <w:pPr>
        <w:pStyle w:val="ListNumber"/>
      </w:pPr>
      <w:r>
        <w:rPr>
          <w:b/>
        </w:rPr>
        <w:t>Goods vs packing list</w:t>
      </w:r>
      <w:r>
        <w:t xml:space="preserve"> — VINs, quantities and condition match; PSI already completed (see PSI guide).</w:t>
      </w:r>
    </w:p>
    <w:p>
      <w:pPr>
        <w:pStyle w:val="ListNumber"/>
      </w:pPr>
      <w:r>
        <w:rPr>
          <w:b/>
        </w:rPr>
        <w:t>Loading order</w:t>
      </w:r>
      <w:r>
        <w:t xml:space="preserve"> — weight distribution and rack positions per plan.</w:t>
      </w:r>
    </w:p>
    <w:p>
      <w:pPr>
        <w:pStyle w:val="ListNumber"/>
      </w:pPr>
      <w:r>
        <w:rPr>
          <w:b/>
        </w:rPr>
        <w:t>Centre of gravity / clearance / height</w:t>
      </w:r>
      <w:r>
        <w:t xml:space="preserve"> — no contact with roof, walls or doors; even side-to-side weight.</w:t>
      </w:r>
    </w:p>
    <w:p>
      <w:pPr>
        <w:pStyle w:val="ListNumber"/>
      </w:pPr>
      <w:r>
        <w:rPr>
          <w:b/>
        </w:rPr>
        <w:t>Securing</w:t>
      </w:r>
      <w:r>
        <w:t xml:space="preserve"> — straps, chocks, timber, anti-slip all in place and tensioned; nothing on paint/suspension.</w:t>
      </w:r>
    </w:p>
    <w:p>
      <w:pPr>
        <w:pStyle w:val="ListNumber"/>
      </w:pPr>
      <w:r>
        <w:rPr>
          <w:b/>
        </w:rPr>
        <w:t>Door clearance</w:t>
      </w:r>
      <w:r>
        <w:t xml:space="preserve"> — enough margin to close and seal; record photos of the stow before sealing.</w:t>
      </w:r>
    </w:p>
    <w:p/>
    <w:p>
      <w:pPr>
        <w:pStyle w:val="Heading2"/>
      </w:pPr>
      <w:r>
        <w:t>EV-Specific Note</w:t>
      </w:r>
    </w:p>
    <w:p>
      <w:r>
        <w:t>An EV/hybrid inside a container still carries a traction battery: follow the ocean dangerous-goods documentation and any carrier SOC/state-of-charge instruction. under IMDG Amendment 42-24 (mandatory from 2026-01-01) a lithium-ion-battery-powered vehicle is classified UN3556, not the legacy generic UN3171; apply documentation/SOC details per the current EV shipping Fact Sheet and the carrier (see the EV ocean-compliance guide) Disconnect/prepare the 12 V system per the carrier and do not assume an internal-combustion stowage SOP covers an EV.</w:t>
      </w:r>
    </w:p>
    <w:p/>
    <w:p>
      <w:pPr>
        <w:pStyle w:val="Heading2"/>
      </w:pPr>
      <w:r>
        <w:t>What This Guide Recommends You Lock Before Booking</w:t>
      </w:r>
    </w:p>
    <w:p>
      <w:pPr>
        <w:pStyle w:val="ListBullet"/>
      </w:pPr>
      <w:r>
        <w:t xml:space="preserve">A </w:t>
      </w:r>
      <w:r>
        <w:rPr>
          <w:b/>
        </w:rPr>
        <w:t>measured load plan</w:t>
      </w:r>
      <w:r>
        <w:t xml:space="preserve"> for the exact models (length/width/height, mirrors folded), not a generic "two or four" promise.</w:t>
      </w:r>
    </w:p>
    <w:p>
      <w:pPr>
        <w:pStyle w:val="ListBullet"/>
      </w:pPr>
      <w:r>
        <w:rPr>
          <w:b/>
        </w:rPr>
        <w:t>Certified rack equipment</w:t>
      </w:r>
      <w:r>
        <w:t xml:space="preserve"> and an approved four-car plan if using double deck.</w:t>
      </w:r>
    </w:p>
    <w:p>
      <w:pPr>
        <w:pStyle w:val="ListBullet"/>
      </w:pPr>
      <w:r>
        <w:rPr>
          <w:b/>
        </w:rPr>
        <w:t>Per-car strap count and wheel-point method</w:t>
      </w:r>
      <w:r>
        <w:t xml:space="preserve"> agreed with the loading warehouse.</w:t>
      </w:r>
    </w:p>
    <w:p>
      <w:pPr>
        <w:pStyle w:val="ListBullet"/>
      </w:pPr>
      <w:r>
        <w:rPr>
          <w:b/>
        </w:rPr>
        <w:t>Photo evidence</w:t>
      </w:r>
      <w:r>
        <w:t xml:space="preserve"> of stow and lashing before seal, linked to VINs.</w:t>
      </w:r>
    </w:p>
    <w:p>
      <w:pPr>
        <w:pStyle w:val="ListBullet"/>
      </w:pPr>
      <w:r>
        <w:rPr>
          <w:b/>
        </w:rPr>
        <w:t>EV dangerous-goods paperwork</w:t>
      </w:r>
      <w:r>
        <w:t xml:space="preserve"> and carrier SOC rules where relevant.</w:t>
      </w:r>
    </w:p>
    <w:p>
      <w:pPr>
        <w:pStyle w:val="ListBullet"/>
      </w:pPr>
      <w:r>
        <w:rPr>
          <w:b/>
        </w:rPr>
        <w:t>Port, route, carrier and terminal acceptance in writing:</w:t>
      </w:r>
      <w:r>
        <w:t xml:space="preserve"> name the actual </w:t>
      </w:r>
      <w:r>
        <w:rPr>
          <w:b/>
        </w:rPr>
        <w:t>load port and terminal</w:t>
      </w:r>
      <w:r>
        <w:t xml:space="preserve"> (the documented trials above are China-port references such as Yantai, not a universal standard), the </w:t>
      </w:r>
      <w:r>
        <w:rPr>
          <w:b/>
        </w:rPr>
        <w:t>ocean carrier and its container operator</w:t>
      </w:r>
      <w:r>
        <w:t xml:space="preserve">, and whether that terminal accepts </w:t>
      </w:r>
      <w:r>
        <w:rPr>
          <w:b/>
        </w:rPr>
        <w:t>double-deck car racks and in-rack lashing</w:t>
      </w:r>
      <w:r>
        <w:t xml:space="preserve"> on the booked sailing. Acceptance conditions and any effective-date change differ by terminal and carrier, so record the </w:t>
      </w:r>
      <w:r>
        <w:rPr>
          <w:b/>
        </w:rPr>
        <w:t>date each condition was confirmed</w:t>
      </w:r>
      <w:r>
        <w:t xml:space="preserve"> against the CTU Code securing principles rather than assuming one warehouse's method is accepted everywhere.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Can a 40HQ always take four SUVs?</w:t>
      </w:r>
      <w:r>
        <w:t xml:space="preserve"> No — four needs a certified pull-out double rack and an approved plan; conventional no-rack loading of mid/large SUVs is typically two.</w:t>
      </w:r>
    </w:p>
    <w:p>
      <w:r>
        <w:rPr>
          <w:b/>
        </w:rPr>
        <w:t>Where should straps attach?</w:t>
      </w:r>
      <w:r>
        <w:t xml:space="preserve"> To the tyres/wheel tie-down points — about eight per car — not to bodywork or suspension.</w:t>
      </w:r>
    </w:p>
    <w:p>
      <w:r>
        <w:rPr>
          <w:b/>
        </w:rPr>
        <w:t>How do sedans differ?</w:t>
      </w:r>
      <w:r>
        <w:t xml:space="preserve"> Sedans and China-Europe rail loads commonly achieve three per box; dimensions still decide.</w:t>
      </w:r>
    </w:p>
    <w:p>
      <w:r>
        <w:rPr>
          <w:b/>
        </w:rPr>
        <w:t>Why load the rack top-first?</w:t>
      </w:r>
      <w:r>
        <w:t xml:space="preserve"> The upper vehicles must be positioned before the lower ones block rack access; forklift assistance repositions them safely.</w:t>
      </w:r>
    </w:p>
    <w:p>
      <w:r>
        <w:rPr>
          <w:b/>
        </w:rPr>
        <w:t>What is checked before sealing the doors?</w:t>
      </w:r>
      <w:r>
        <w:t xml:space="preserve"> Goods/list match, order, centre of gravity and clearance, full securing, and door margin — with photos.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Loading cars into a 40HQ container,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Loading cars into a 40HQ container,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Loading cars into a 40HQ container,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Loading cars into a 40HQ container,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Loading cars into a 40HQ container,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輸出バイヤー向けリファレンス｜Loading cars into a 40HQ container,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자료｜Loading cars into a 40HQ container,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Loading cars into a 40HQ container,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Loading cars into a 40HQ container,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Loading cars into a 40HQ container,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Loading cars into a 40HQ container,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出口采购参考｜Loading cars into a 40HQ container,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Vehicle stowage side-view (2/box, 8 straps)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https://m.11467.com/product/d42473652.htm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2-SUV no-rack; ~8 straps; wheel method (one source)</w:t>
            </w:r>
          </w:p>
        </w:tc>
      </w:tr>
      <w:tr>
        <w:tc>
          <w:tcPr>
            <w:tcW w:type="dxa" w:w="1234"/>
          </w:tcPr>
          <w:p>
            <w:r>
              <w:t>Yantai port first 4-SUV "RoRo-to-container" trial</w:t>
            </w:r>
          </w:p>
        </w:tc>
        <w:tc>
          <w:tcPr>
            <w:tcW w:type="dxa" w:w="1234"/>
          </w:tcPr>
          <w:p>
            <w:r>
              <w:t>Qilu Evening News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http://m.toutiao.com/group/7443978035637846554/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Upper2+lower2 rack; loading sequence (one reported trial)</w:t>
            </w:r>
          </w:p>
        </w:tc>
      </w:tr>
      <w:tr>
        <w:tc>
          <w:tcPr>
            <w:tcW w:type="dxa" w:w="1234"/>
          </w:tcPr>
          <w:p>
            <w:r>
              <w:t>China-Europe rail car loading (3/box)</w:t>
            </w:r>
          </w:p>
        </w:tc>
        <w:tc>
          <w:tcPr>
            <w:tcW w:type="dxa" w:w="1234"/>
          </w:tcPr>
          <w:p>
            <w:r>
              <w:t>Harbin Railway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http://m.toutiao.com/group/6748371578787987979/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Three-per-box sedan/rail reference (one source)</w:t>
            </w:r>
          </w:p>
        </w:tc>
      </w:tr>
      <w:tr>
        <w:tc>
          <w:tcPr>
            <w:tcW w:type="dxa" w:w="1234"/>
          </w:tcPr>
          <w:p>
            <w:r>
              <w:t>Export container five-step loading method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https://www.163.com/dy/article/L42056IP05568MR2.html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Five-point stowage check (one source)</w:t>
            </w:r>
          </w:p>
        </w:tc>
      </w:tr>
    </w:tbl>
    <w:p>
      <w:r>
        <w:t>*Scope note: each loading figure comes from a single, distinct source (all SINGLE_SOURCE) — no fact is corroborated by two independent sources, so none is labelled CROSS_CHECKED. Counts are documented-practice references, not guaranteed stowage; the exact number always depends on measured dimensions and an approved load plan, and carrier/terminal rules must be confirmed at booking.*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IMO/ILO/UNECE Code of Practice for Packing Cargo Transport Units (CTU Code)</w:t>
            </w:r>
          </w:p>
        </w:tc>
        <w:tc>
          <w:tcPr>
            <w:tcW w:type="dxa" w:w="1234"/>
          </w:tcPr>
          <w:p>
            <w:r>
              <w:t>International Maritime Organization (IMO)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https://www.imo.org/en/OurWork/Safety/Pages/CTU-Code.aspx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Cargo distribution, lashing and securing principles for CTUs including containers</w:t>
            </w:r>
          </w:p>
        </w:tc>
      </w:tr>
      <w:tr>
        <w:tc>
          <w:tcPr>
            <w:tcW w:type="dxa" w:w="1234"/>
          </w:tcPr>
          <w:p>
            <w:r>
              <w:t>Containers / equipment reference</w:t>
            </w:r>
          </w:p>
        </w:tc>
        <w:tc>
          <w:tcPr>
            <w:tcW w:type="dxa" w:w="1234"/>
          </w:tcPr>
          <w:p>
            <w:r>
              <w:t>World Shipping Council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https://www.worldshipping.org/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Standard freight-container and liner-equipment context for load planning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logistics operation (method, not a fixed-count promise)</w:t>
      </w:r>
    </w:p>
    <w:p>
      <w:pPr>
        <w:pStyle w:val="ListBullet"/>
      </w:pPr>
      <w:r>
        <w:rPr>
          <w:b/>
        </w:rPr>
        <w:t>Verification method</w:t>
      </w:r>
      <w:r>
        <w:t>: operational guidance, no universal count asserted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#ContainerLoading #40HQ #VehicleLashing #CTUCode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