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Reading and Verifying a Chinese Vehicle's VIN and Nameplate Under GB 16735-2019</w:t>
      </w:r>
    </w:p>
    <w:p/>
    <w:p>
      <w:pPr>
        <w:pStyle w:val="Heading2"/>
      </w:pPr>
      <w:r>
        <w:t>SEO Metadata</w:t>
      </w:r>
    </w:p>
    <w:p>
      <w:pPr>
        <w:pStyle w:val="ListBullet"/>
      </w:pPr>
      <w:r>
        <w:rPr>
          <w:b/>
        </w:rPr>
        <w:t>SEO Title</w:t>
      </w:r>
      <w:r>
        <w:t>: VIN &amp; Nameplate Verification for Chinese Vehicle Imports — GB 16735-2019</w:t>
      </w:r>
    </w:p>
    <w:p>
      <w:pPr>
        <w:pStyle w:val="ListBullet"/>
      </w:pPr>
      <w:r>
        <w:rPr>
          <w:b/>
        </w:rPr>
        <w:t>Meta Description</w:t>
      </w:r>
      <w:r>
        <w:t>: How a 17-character VIN splits into WMI/VDS/VIS under GB 16735-2019, why stamped VIN, nameplate, certificate and shipping documents must match, and what an importer should verify before payment.</w:t>
      </w:r>
    </w:p>
    <w:p>
      <w:pPr>
        <w:pStyle w:val="ListBullet"/>
      </w:pPr>
      <w:r>
        <w:rPr>
          <w:b/>
        </w:rPr>
        <w:t>Suggested URL</w:t>
      </w:r>
      <w:r>
        <w:t>: /guides/vin-nameplate-verification-chinese-vehicles</w:t>
      </w:r>
    </w:p>
    <w:p>
      <w:pPr>
        <w:pStyle w:val="ListBullet"/>
      </w:pPr>
      <w:r>
        <w:rPr>
          <w:b/>
        </w:rPr>
        <w:t>H1</w:t>
      </w:r>
      <w:r>
        <w:t>: VIN and Nameplate Verification for a Chinese Vehicle: Structure, Standard and the Four-Place Match</w:t>
      </w:r>
    </w:p>
    <w:p>
      <w:pPr>
        <w:pStyle w:val="ListBullet"/>
      </w:pPr>
      <w:r>
        <w:rPr>
          <w:b/>
        </w:rPr>
        <w:t>Primary Keyword</w:t>
      </w:r>
      <w:r>
        <w:t>: VIN nameplate verification GB16735 chinese vehicle</w:t>
      </w:r>
    </w:p>
    <w:p>
      <w:pPr>
        <w:pStyle w:val="ListBullet"/>
      </w:pPr>
      <w:r>
        <w:rPr>
          <w:b/>
        </w:rPr>
        <w:t>Secondary Search Terms</w:t>
      </w:r>
      <w:r>
        <w:t>: WMI VDS VIS structure, GB16735-2019 VIN, VIN check digit position 9, VIN nameplate certificate consistency, stamped VIN tampering</w:t>
      </w:r>
    </w:p>
    <w:p>
      <w:pPr>
        <w:pStyle w:val="ListBullet"/>
      </w:pPr>
      <w:r>
        <w:rPr>
          <w:b/>
        </w:rPr>
        <w:t>Internal Link Suggestions</w:t>
      </w:r>
      <w:r>
        <w:t>: /guides/export-vehicle-document-package/ ; /guides/china-export-statutory-inspection-declaration/ ; /vehicles/jac-t9-hunter/</w:t>
      </w:r>
    </w:p>
    <w:p>
      <w:pPr>
        <w:pStyle w:val="ListBullet"/>
      </w:pPr>
      <w:r>
        <w:rPr>
          <w:b/>
        </w:rPr>
        <w:t>Image Suggestions</w:t>
      </w:r>
      <w:r>
        <w:t>: 17-char VIN segment diagram; four-place match checklist; stamped VIN close-up</w:t>
      </w:r>
    </w:p>
    <w:p>
      <w:pPr>
        <w:pStyle w:val="ListBullet"/>
      </w:pPr>
      <w:r>
        <w:rPr>
          <w:b/>
        </w:rPr>
        <w:t>ALT Suggestions</w:t>
      </w:r>
      <w:r>
        <w:t>: "17 character VIN split into WMI VDS VIS under GB16735-2019"</w:t>
      </w:r>
    </w:p>
    <w:p/>
    <w:p>
      <w:pPr>
        <w:pStyle w:val="Heading2"/>
      </w:pPr>
      <w:r>
        <w:t>Why VIN Verification Sits Before Payment</w:t>
      </w:r>
    </w:p>
    <w:p>
      <w:r>
        <w:t xml:space="preserve">A VIN mismatch is one of the few defects that blocks registration </w:t>
      </w:r>
      <w:r>
        <w:rPr>
          <w:b/>
        </w:rPr>
        <w:t>after</w:t>
      </w:r>
      <w:r>
        <w:t xml:space="preserve"> the vehicle has already been paid for and shipped. The fix is cheap at the sourcing desk and expensive at the destination port. This guide explains the Chinese VIN structure under the current standard and gives a four-place consistency check buyers can run before releasing balance payment.</w:t>
      </w:r>
    </w:p>
    <w:p/>
    <w:p>
      <w:pPr>
        <w:pStyle w:val="Heading2"/>
      </w:pPr>
      <w:r>
        <w:t>The 17-Character Structure Under GB 16735-2019</w:t>
      </w:r>
    </w:p>
    <w:p>
      <w:r>
        <w:t xml:space="preserve">A vehicle identification number is </w:t>
      </w:r>
      <w:r>
        <w:rPr>
          <w:b/>
        </w:rPr>
        <w:t>17 characters</w:t>
      </w:r>
      <w:r>
        <w:t>, divided into three parts:</w:t>
      </w:r>
    </w:p>
    <w:p>
      <w:pPr>
        <w:pStyle w:val="ListBullet"/>
      </w:pPr>
      <w:r>
        <w:rPr>
          <w:b/>
        </w:rPr>
        <w:t>WMI (positions 1–3) — World Manufacturer Identifier</w:t>
      </w:r>
      <w:r>
        <w:t>: pre-assigned to the manufacturer by the authorized body of the country/region where it is located, in line with GB 16737.</w:t>
      </w:r>
    </w:p>
    <w:p>
      <w:pPr>
        <w:pStyle w:val="ListBullet"/>
      </w:pPr>
      <w:r>
        <w:rPr>
          <w:b/>
        </w:rPr>
        <w:t>VDS (positions 4–9) — Vehicle Descriptor Section</w:t>
      </w:r>
      <w:r>
        <w:t xml:space="preserve">: describes model/engine and other characteristics; </w:t>
      </w:r>
      <w:r>
        <w:rPr>
          <w:b/>
        </w:rPr>
        <w:t>position 9 is the check character</w:t>
      </w:r>
      <w:r>
        <w:t>.</w:t>
      </w:r>
    </w:p>
    <w:p>
      <w:pPr>
        <w:pStyle w:val="ListBullet"/>
      </w:pPr>
      <w:r>
        <w:rPr>
          <w:b/>
        </w:rPr>
        <w:t>VIS (positions 10–17) — Vehicle Indicator Section</w:t>
      </w:r>
      <w:r>
        <w:t>: carries model year, assembly plant and production serial number.</w:t>
      </w:r>
    </w:p>
    <w:p/>
    <w:p>
      <w:r>
        <w:rPr>
          <w:b/>
        </w:rPr>
        <w:t>GB 16735-2019 *Road vehicles — Vehicle identification number (VIN)</w:t>
      </w:r>
      <w:r>
        <w:t xml:space="preserve">* is the current Chinese standard (replacing the 2004 edition) and is listed as a </w:t>
      </w:r>
      <w:r>
        <w:rPr>
          <w:b/>
        </w:rPr>
        <w:t>mandatory cited standard in road-motor-vehicle product-access review</w:t>
      </w:r>
      <w:r>
        <w:t>. That mandatory status is why VIN, nameplate, certificate and licence documents are required to be consistent.</w:t>
      </w:r>
    </w:p>
    <w:p/>
    <w:p>
      <w:pPr>
        <w:pStyle w:val="Heading2"/>
      </w:pPr>
      <w:r>
        <w:t>What We Deliberately Do Not Infer From the First Character</w:t>
      </w:r>
    </w:p>
    <w:p>
      <w:r>
        <w:t xml:space="preserve">The WMI first character is allocated by an authorized body. This guide does </w:t>
      </w:r>
      <w:r>
        <w:rPr>
          <w:b/>
        </w:rPr>
        <w:t>not</w:t>
      </w:r>
      <w:r>
        <w:t xml:space="preserve"> assert a blanket rule such as "Chinese vehicles start with L (some with H)" as a definitive origin test: that claim was not confirmed to a reliable standard in the current research and is treated as </w:t>
      </w:r>
      <w:r>
        <w:rPr>
          <w:b/>
        </w:rPr>
        <w:t>unverified</w:t>
      </w:r>
      <w:r>
        <w:t xml:space="preserve">. Origin and manufacturer must be read from the </w:t>
      </w:r>
      <w:r>
        <w:rPr>
          <w:b/>
        </w:rPr>
        <w:t>authorized WMI allocation</w:t>
      </w:r>
      <w:r>
        <w:t>, not guessed from an initial letter; a specific WMI-prefix-to-manufacturer lookup requires the allocation table and is not reproduced here. Destination-country VIN format rules are country-specific and checked separately.</w:t>
      </w:r>
    </w:p>
    <w:p/>
    <w:p>
      <w:pPr>
        <w:pStyle w:val="Heading2"/>
      </w:pPr>
      <w:r>
        <w:t>The Four-Place Match Before Balance Payment</w:t>
      </w:r>
    </w:p>
    <w:p>
      <w:r>
        <w:t>Compare the same 17 characters across four locations and confirm there is no grinding, re-stamping or over-spray:</w:t>
      </w:r>
    </w:p>
    <w:p>
      <w:pPr>
        <w:pStyle w:val="ListNumber"/>
      </w:pPr>
      <w:r>
        <w:rPr>
          <w:b/>
        </w:rPr>
        <w:t>Stamped/chiselled VIN on the body</w:t>
      </w:r>
      <w:r>
        <w:t xml:space="preserve"> (chassis).</w:t>
      </w:r>
    </w:p>
    <w:p>
      <w:pPr>
        <w:pStyle w:val="ListNumber"/>
      </w:pPr>
      <w:r>
        <w:rPr>
          <w:b/>
        </w:rPr>
        <w:t>VIN on the nameplate</w:t>
      </w:r>
      <w:r>
        <w:t>.</w:t>
      </w:r>
    </w:p>
    <w:p>
      <w:pPr>
        <w:pStyle w:val="ListNumber"/>
      </w:pPr>
      <w:r>
        <w:rPr>
          <w:b/>
        </w:rPr>
        <w:t>VIN on the certificate of conformity / factory certificate</w:t>
      </w:r>
      <w:r>
        <w:t>.</w:t>
      </w:r>
    </w:p>
    <w:p>
      <w:pPr>
        <w:pStyle w:val="ListNumber"/>
      </w:pPr>
      <w:r>
        <w:rPr>
          <w:b/>
        </w:rPr>
        <w:t>VIN on the shipping documents</w:t>
      </w:r>
      <w:r>
        <w:t xml:space="preserve"> (B/L, invoice, packing list).</w:t>
      </w:r>
    </w:p>
    <w:p/>
    <w:p>
      <w:r>
        <w:t xml:space="preserve">Any character difference, restamping evidence, or document-vs-body mismatch is a hold point: resolve it with the supplier and the manufacturer's allocation record </w:t>
      </w:r>
      <w:r>
        <w:rPr>
          <w:b/>
        </w:rPr>
        <w:t>before</w:t>
      </w:r>
      <w:r>
        <w:t xml:space="preserve"> payment and booking, because registration authorities compare the same four places.</w:t>
      </w:r>
    </w:p>
    <w:p/>
    <w:p>
      <w:pPr>
        <w:pStyle w:val="Heading2"/>
      </w:pPr>
      <w:r>
        <w:t>A Practical Verification Order</w:t>
      </w:r>
    </w:p>
    <w:p>
      <w:pPr>
        <w:pStyle w:val="ListNumber"/>
      </w:pPr>
      <w:r>
        <w:t>Transcribe the stamped body VIN character by character (17 total).</w:t>
      </w:r>
    </w:p>
    <w:p>
      <w:pPr>
        <w:pStyle w:val="ListNumber"/>
      </w:pPr>
      <w:r>
        <w:t>Confirm the position-9 check character and the position-10 model-year code are internally consistent.</w:t>
      </w:r>
    </w:p>
    <w:p>
      <w:pPr>
        <w:pStyle w:val="ListNumber"/>
      </w:pPr>
      <w:r>
        <w:t>Match it to nameplate, certificate and shipping documents (four-place match).</w:t>
      </w:r>
    </w:p>
    <w:p>
      <w:pPr>
        <w:pStyle w:val="ListNumber"/>
      </w:pPr>
      <w:r>
        <w:t>Identify the manufacturer through the WMI allocation rather than the first letter alone.</w:t>
      </w:r>
    </w:p>
    <w:p>
      <w:pPr>
        <w:pStyle w:val="ListNumber"/>
      </w:pPr>
      <w:r>
        <w:t>Photograph stamped VIN, nameplate and certificate together for the file.</w:t>
      </w:r>
    </w:p>
    <w:p/>
    <w:p>
      <w:pPr>
        <w:pStyle w:val="Heading2"/>
      </w:pPr>
      <w:r>
        <w:t>Boundaries of This Guide</w:t>
      </w:r>
    </w:p>
    <w:p>
      <w:pPr>
        <w:pStyle w:val="ListBullet"/>
      </w:pPr>
      <w:r>
        <w:t>No WMI-prefix-to-manufacturer directory (requires the authorized allocation table).</w:t>
      </w:r>
    </w:p>
    <w:p>
      <w:pPr>
        <w:pStyle w:val="ListBullet"/>
      </w:pPr>
      <w:r>
        <w:t>No absolute "initial letter = country of manufacture" rule.</w:t>
      </w:r>
    </w:p>
    <w:p>
      <w:pPr>
        <w:pStyle w:val="ListBullet"/>
      </w:pPr>
      <w:r>
        <w:t>Destination VIN/registration formats are handled per destination country.</w:t>
      </w:r>
    </w:p>
    <w:p/>
    <w:p>
      <w:pPr>
        <w:pStyle w:val="Heading2"/>
      </w:pPr>
      <w:r>
        <w:t>Frequently Asked Questions</w:t>
      </w:r>
    </w:p>
    <w:p>
      <w:r>
        <w:rPr>
          <w:b/>
        </w:rPr>
        <w:t>How is a Chinese VIN structured?</w:t>
      </w:r>
      <w:r>
        <w:t xml:space="preserve"> 17 characters: WMI (1–3), VDS (4–9, with check character at 9), VIS (10–17, model year/plant/serial).</w:t>
      </w:r>
    </w:p>
    <w:p>
      <w:r>
        <w:rPr>
          <w:b/>
        </w:rPr>
        <w:t>Which standard governs it?</w:t>
      </w:r>
      <w:r>
        <w:t xml:space="preserve"> GB 16735-2019, a mandatory cited standard in vehicle product-access review.</w:t>
      </w:r>
    </w:p>
    <w:p>
      <w:r>
        <w:rPr>
          <w:b/>
        </w:rPr>
        <w:t>Can I tell the origin from the first letter?</w:t>
      </w:r>
      <w:r>
        <w:t xml:space="preserve"> Not reliably on its own — use the authorized WMI allocation; this guide does not assert an L/H rule as fact.</w:t>
      </w:r>
    </w:p>
    <w:p>
      <w:r>
        <w:rPr>
          <w:b/>
        </w:rPr>
        <w:t>What must match before payment?</w:t>
      </w:r>
      <w:r>
        <w:t xml:space="preserve"> Stamped body VIN, nameplate VIN, certificate VIN and shipping-document VIN — all identical, with no re-stamping.</w:t>
      </w:r>
    </w:p>
    <w:p/>
    <w:p>
      <w:pPr>
        <w:pStyle w:val="Heading2"/>
      </w:pPr>
      <w:r>
        <w:t>Image Record</w:t>
      </w:r>
    </w:p>
    <w:p>
      <w:pPr>
        <w:pStyle w:val="ListBullet"/>
      </w:pPr>
      <w:r>
        <w:t>IMAGE_ASSET_PATH: none secured in repository</w:t>
      </w:r>
    </w:p>
    <w:p>
      <w:pPr>
        <w:pStyle w:val="ListBullet"/>
      </w:pPr>
      <w:r>
        <w:t>ORIGINAL_IMAGE_URL: not captured</w:t>
      </w:r>
    </w:p>
    <w:p>
      <w:pPr>
        <w:pStyle w:val="ListBullet"/>
      </w:pPr>
      <w:r>
        <w:t>SOURCE_PAGE: not captured</w:t>
      </w:r>
    </w:p>
    <w:p>
      <w:pPr>
        <w:pStyle w:val="ListBullet"/>
      </w:pPr>
      <w:r>
        <w:t>SOURCE_FILE_PAGE: not applicable — no candidate media file identified (no licence to assert)</w:t>
      </w:r>
    </w:p>
    <w:p>
      <w:pPr>
        <w:pStyle w:val="ListBullet"/>
      </w:pPr>
      <w:r>
        <w:t>RIGHTS_HOLDER: unconfirmed</w:t>
      </w:r>
    </w:p>
    <w:p>
      <w:pPr>
        <w:pStyle w:val="ListBullet"/>
      </w:pPr>
      <w:r>
        <w:t>LICENSE_OR_USAGE_BASIS: none secured — no third-party image may be published until rights are cleared</w:t>
      </w:r>
    </w:p>
    <w:p>
      <w:pPr>
        <w:pStyle w:val="ListBullet"/>
      </w:pPr>
      <w:r>
        <w:t>CHECKED_DATE: 2026-09-06</w:t>
      </w:r>
    </w:p>
    <w:p>
      <w:pPr>
        <w:pStyle w:val="ListBullet"/>
      </w:pPr>
      <w:r>
        <w:t>MODEL_TOPIC_MATCH: must match the exact model/version (or the guide topic) and reference market above</w:t>
      </w:r>
    </w:p>
    <w:p>
      <w:pPr>
        <w:pStyle w:val="ListBullet"/>
      </w:pPr>
      <w:r>
        <w:t>IMAGE_SCOPE_NOTE: match the exact model family/topic only; must not imply a specific trim/model-year, real VIN, in-person inspection or actual transaction</w:t>
      </w:r>
    </w:p>
    <w:p>
      <w:pPr>
        <w:pStyle w:val="ListBullet"/>
      </w:pPr>
      <w:r>
        <w:t>IMAGE_RIGHTS_STATUS: FAIL (no licensed asset captured; a placeholder or “retain old image” note is not accepted)</w:t>
      </w:r>
    </w:p>
    <w:p>
      <w:pPr>
        <w:pStyle w:val="ListBullet"/>
      </w:pPr>
      <w:r>
        <w:t>BLOCK_REASON: No reusable image could be secured: Wikimedia Commons/Flickr are unreachable from the research environment, stock libraries require authenticated API/licence access, and an OEM webpage image is NOT a commercial reuse grant; no AutoBridge-owned photo exists. Kept FAIL rather than asserted.</w:t>
      </w:r>
    </w:p>
    <w:p>
      <w:pPr>
        <w:pStyle w:val="ListBullet"/>
      </w:pPr>
      <w:r>
        <w:t>ALT by language:</w:t>
      </w:r>
    </w:p>
    <w:p>
      <w:pPr>
        <w:pStyle w:val="ListBullet"/>
      </w:pPr>
      <w:r>
        <w:rPr>
          <w:b/>
        </w:rPr>
        <w:t>EN</w:t>
      </w:r>
      <w:r>
        <w:t>: AutoBridge export-buyer reference — Chinese VIN and nameplate under GB 16735, vehicle-export procurement guide</w:t>
      </w:r>
    </w:p>
    <w:p>
      <w:pPr>
        <w:pStyle w:val="ListBullet"/>
      </w:pPr>
      <w:r>
        <w:rPr>
          <w:b/>
        </w:rPr>
        <w:t>FR</w:t>
      </w:r>
      <w:r>
        <w:t>: Référence AutoBridge pour acheteurs export — Chinese VIN and nameplate under GB 16735, guide d’achat à l’export automobile</w:t>
      </w:r>
    </w:p>
    <w:p>
      <w:pPr>
        <w:pStyle w:val="ListBullet"/>
      </w:pPr>
      <w:r>
        <w:rPr>
          <w:b/>
        </w:rPr>
        <w:t>DE</w:t>
      </w:r>
      <w:r>
        <w:t>: AutoBridge-Referenz für Exportkäufer — Chinese VIN and nameplate under GB 16735, Leitfaden für Fahrzeugexport-Einkauf</w:t>
      </w:r>
    </w:p>
    <w:p>
      <w:pPr>
        <w:pStyle w:val="ListBullet"/>
      </w:pPr>
      <w:r>
        <w:rPr>
          <w:b/>
        </w:rPr>
        <w:t>ES</w:t>
      </w:r>
      <w:r>
        <w:t>: Referencia AutoBridge para compradores de exportación — Chinese VIN and nameplate under GB 16735, guía de compras para exportación de vehículos</w:t>
      </w:r>
    </w:p>
    <w:p>
      <w:pPr>
        <w:pStyle w:val="ListBullet"/>
      </w:pPr>
      <w:r>
        <w:rPr>
          <w:b/>
        </w:rPr>
        <w:t>PT</w:t>
      </w:r>
      <w:r>
        <w:t>: Referência AutoBridge para compradores de exportação — Chinese VIN and nameplate under GB 16735, guia de compras para exportação de veículos</w:t>
      </w:r>
    </w:p>
    <w:p>
      <w:pPr>
        <w:pStyle w:val="ListBullet"/>
      </w:pPr>
      <w:r>
        <w:rPr>
          <w:b/>
        </w:rPr>
        <w:t>JA</w:t>
      </w:r>
      <w:r>
        <w:t>: AutoBridge 輸出バイヤー向けリファレンス｜Chinese VIN and nameplate under GB 16735, 自動車輸出 調達ガイド</w:t>
      </w:r>
    </w:p>
    <w:p>
      <w:pPr>
        <w:pStyle w:val="ListBullet"/>
      </w:pPr>
      <w:r>
        <w:rPr>
          <w:b/>
        </w:rPr>
        <w:t>KO</w:t>
      </w:r>
      <w:r>
        <w:t>: AutoBridge 수출 바이어 참고 자료｜Chinese VIN and nameplate under GB 16735, 자동차 수출 조달 가이드</w:t>
      </w:r>
    </w:p>
    <w:p>
      <w:pPr>
        <w:pStyle w:val="ListBullet"/>
      </w:pPr>
      <w:r>
        <w:rPr>
          <w:b/>
        </w:rPr>
        <w:t>VI</w:t>
      </w:r>
      <w:r>
        <w:t>: Tài liệu tham khảo AutoBridge cho người mua xuất khẩu — Chinese VIN and nameplate under GB 16735, hướng dẫn thu mua xuất khẩu xe</w:t>
      </w:r>
    </w:p>
    <w:p>
      <w:pPr>
        <w:pStyle w:val="ListBullet"/>
      </w:pPr>
      <w:r>
        <w:rPr>
          <w:b/>
        </w:rPr>
        <w:t>TH</w:t>
      </w:r>
      <w:r>
        <w:t>: เอกสารอ้างอิง AutoBridge สำหรับผู้ซื้อเพื่อการส่งออก — Chinese VIN and nameplate under GB 16735, คู่มือจัดซื้อเพื่อการส่งออกยานยนต์</w:t>
      </w:r>
    </w:p>
    <w:p>
      <w:pPr>
        <w:pStyle w:val="ListBullet"/>
      </w:pPr>
      <w:r>
        <w:rPr>
          <w:b/>
        </w:rPr>
        <w:t>ID</w:t>
      </w:r>
      <w:r>
        <w:t>: Referensi AutoBridge untuk pembeli ekspor — Chinese VIN and nameplate under GB 16735, panduan pengadaan ekspor kendaraan</w:t>
      </w:r>
    </w:p>
    <w:p>
      <w:pPr>
        <w:pStyle w:val="ListBullet"/>
      </w:pPr>
      <w:r>
        <w:rPr>
          <w:b/>
        </w:rPr>
        <w:t>AR</w:t>
      </w:r>
      <w:r>
        <w:t>: مرجع AutoBridge لمشتري التصدير — Chinese VIN and nameplate under GB 16735, دليل مشتريات تصدير المركبات</w:t>
      </w:r>
    </w:p>
    <w:p>
      <w:pPr>
        <w:pStyle w:val="ListBullet"/>
      </w:pPr>
      <w:r>
        <w:rPr>
          <w:b/>
        </w:rPr>
        <w:t>ZH</w:t>
      </w:r>
      <w:r>
        <w:t>: AutoBridge 出口采购参考｜Chinese VIN and nameplate under GB 16735, 汽车出口采购指南</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 title</w:t>
            </w:r>
          </w:p>
        </w:tc>
        <w:tc>
          <w:tcPr>
            <w:tcW w:type="dxa" w:w="1234"/>
          </w:tcPr>
          <w:p>
            <w:r>
              <w:t>Organization</w:t>
            </w:r>
          </w:p>
        </w:tc>
        <w:tc>
          <w:tcPr>
            <w:tcW w:type="dxa" w:w="1234"/>
          </w:tcPr>
          <w:p>
            <w:r>
              <w:t>Market</w:t>
            </w:r>
          </w:p>
        </w:tc>
        <w:tc>
          <w:tcPr>
            <w:tcW w:type="dxa" w:w="1234"/>
          </w:tcPr>
          <w:p>
            <w:r>
              <w:t>URL</w:t>
            </w:r>
          </w:p>
        </w:tc>
        <w:tc>
          <w:tcPr>
            <w:tcW w:type="dxa" w:w="1234"/>
          </w:tcPr>
          <w:p>
            <w:r>
              <w:t>Checked</w:t>
            </w:r>
          </w:p>
        </w:tc>
        <w:tc>
          <w:tcPr>
            <w:tcW w:type="dxa" w:w="1234"/>
          </w:tcPr>
          <w:p>
            <w:r>
              <w:t>Confidence</w:t>
            </w:r>
          </w:p>
        </w:tc>
        <w:tc>
          <w:tcPr>
            <w:tcW w:type="dxa" w:w="1234"/>
          </w:tcPr>
          <w:p>
            <w:r>
              <w:t>Supported facts</w:t>
            </w:r>
          </w:p>
        </w:tc>
      </w:tr>
      <w:tr>
        <w:tc>
          <w:tcPr>
            <w:tcW w:type="dxa" w:w="1234"/>
          </w:tcPr>
          <w:p>
            <w:r>
              <w:t>GB 16735-2019 Road vehicles — VIN, standard text PDF</w:t>
            </w:r>
          </w:p>
        </w:tc>
        <w:tc>
          <w:tcPr>
            <w:tcW w:type="dxa" w:w="1234"/>
          </w:tcPr>
          <w:p>
            <w:r>
              <w:t>SAC/TC114 (national auto standardization)</w:t>
            </w:r>
          </w:p>
        </w:tc>
        <w:tc>
          <w:tcPr>
            <w:tcW w:type="dxa" w:w="1234"/>
          </w:tcPr>
          <w:p>
            <w:r>
              <w:t>CN</w:t>
            </w:r>
          </w:p>
        </w:tc>
        <w:tc>
          <w:tcPr>
            <w:tcW w:type="dxa" w:w="1234"/>
          </w:tcPr>
          <w:p>
            <w:r>
              <w:t>https://203.83.237.36/upload/202108/10/202108101324047215.pdf</w:t>
            </w:r>
          </w:p>
        </w:tc>
        <w:tc>
          <w:tcPr>
            <w:tcW w:type="dxa" w:w="1234"/>
          </w:tcPr>
          <w:p>
            <w:r>
              <w:t>2026-09-04</w:t>
            </w:r>
          </w:p>
        </w:tc>
        <w:tc>
          <w:tcPr>
            <w:tcW w:type="dxa" w:w="1234"/>
          </w:tcPr>
          <w:p>
            <w:r>
              <w:t>VERIFIED (primary)</w:t>
            </w:r>
          </w:p>
        </w:tc>
        <w:tc>
          <w:tcPr>
            <w:tcW w:type="dxa" w:w="1234"/>
          </w:tcPr>
          <w:p>
            <w:r>
              <w:t>17-char structure, standard text</w:t>
            </w:r>
          </w:p>
        </w:tc>
      </w:tr>
      <w:tr>
        <w:tc>
          <w:tcPr>
            <w:tcW w:type="dxa" w:w="1234"/>
          </w:tcPr>
          <w:p>
            <w:r>
              <w:t>GB 16735-2019 standard status page</w:t>
            </w:r>
          </w:p>
        </w:tc>
        <w:tc>
          <w:tcPr>
            <w:tcW w:type="dxa" w:w="1234"/>
          </w:tcPr>
          <w:p>
            <w:r>
              <w:t>SAMR openstd</w:t>
            </w:r>
          </w:p>
        </w:tc>
        <w:tc>
          <w:tcPr>
            <w:tcW w:type="dxa" w:w="1234"/>
          </w:tcPr>
          <w:p>
            <w:r>
              <w:t>CN</w:t>
            </w:r>
          </w:p>
        </w:tc>
        <w:tc>
          <w:tcPr>
            <w:tcW w:type="dxa" w:w="1234"/>
          </w:tcPr>
          <w:p>
            <w:r>
              <w:t>https://openstd.samr.gov.cn/bzgk/std/newGbInfo?hcno=E2EBF667F8C032B1EDFD6DF9C1114E02</w:t>
            </w:r>
          </w:p>
        </w:tc>
        <w:tc>
          <w:tcPr>
            <w:tcW w:type="dxa" w:w="1234"/>
          </w:tcPr>
          <w:p>
            <w:r>
              <w:t>2026-09-04</w:t>
            </w:r>
          </w:p>
        </w:tc>
        <w:tc>
          <w:tcPr>
            <w:tcW w:type="dxa" w:w="1234"/>
          </w:tcPr>
          <w:p>
            <w:r>
              <w:t>VERIFIED (primary)</w:t>
            </w:r>
          </w:p>
        </w:tc>
        <w:tc>
          <w:tcPr>
            <w:tcW w:type="dxa" w:w="1234"/>
          </w:tcPr>
          <w:p>
            <w:r>
              <w:t>Current status, replaces 2004</w:t>
            </w:r>
          </w:p>
        </w:tc>
      </w:tr>
      <w:tr>
        <w:tc>
          <w:tcPr>
            <w:tcW w:type="dxa" w:w="1234"/>
          </w:tcPr>
          <w:p>
            <w:r>
              <w:t>SAMR platform · GB16735-2019 detail</w:t>
            </w:r>
          </w:p>
        </w:tc>
        <w:tc>
          <w:tcPr>
            <w:tcW w:type="dxa" w:w="1234"/>
          </w:tcPr>
          <w:p>
            <w:r>
              <w:t>SAMR</w:t>
            </w:r>
          </w:p>
        </w:tc>
        <w:tc>
          <w:tcPr>
            <w:tcW w:type="dxa" w:w="1234"/>
          </w:tcPr>
          <w:p>
            <w:r>
              <w:t>CN</w:t>
            </w:r>
          </w:p>
        </w:tc>
        <w:tc>
          <w:tcPr>
            <w:tcW w:type="dxa" w:w="1234"/>
          </w:tcPr>
          <w:p>
            <w:r>
              <w:t>https://std.samr.gov.cn/gb/search/gbDetailed?id=94E9AF238E3052A4E05397BE0A0AD366</w:t>
            </w:r>
          </w:p>
        </w:tc>
        <w:tc>
          <w:tcPr>
            <w:tcW w:type="dxa" w:w="1234"/>
          </w:tcPr>
          <w:p>
            <w:r>
              <w:t>2026-09-04</w:t>
            </w:r>
          </w:p>
        </w:tc>
        <w:tc>
          <w:tcPr>
            <w:tcW w:type="dxa" w:w="1234"/>
          </w:tcPr>
          <w:p>
            <w:r>
              <w:t>VERIFIED (primary)</w:t>
            </w:r>
          </w:p>
        </w:tc>
        <w:tc>
          <w:tcPr>
            <w:tcW w:type="dxa" w:w="1234"/>
          </w:tcPr>
          <w:p>
            <w:r>
              <w:t>Standard status</w:t>
            </w:r>
          </w:p>
        </w:tc>
      </w:tr>
      <w:tr>
        <w:tc>
          <w:tcPr>
            <w:tcW w:type="dxa" w:w="1234"/>
          </w:tcPr>
          <w:p>
            <w:r>
              <w:t>Road-motor-vehicle product-access review requirements (mandatory citation of GB16735)</w:t>
            </w:r>
          </w:p>
        </w:tc>
        <w:tc>
          <w:tcPr>
            <w:tcW w:type="dxa" w:w="1234"/>
          </w:tcPr>
          <w:p>
            <w:r>
              <w:t>MIIT official PDF</w:t>
            </w:r>
          </w:p>
        </w:tc>
        <w:tc>
          <w:tcPr>
            <w:tcW w:type="dxa" w:w="1234"/>
          </w:tcPr>
          <w:p>
            <w:r>
              <w:t>CN</w:t>
            </w:r>
          </w:p>
        </w:tc>
        <w:tc>
          <w:tcPr>
            <w:tcW w:type="dxa" w:w="1234"/>
          </w:tcPr>
          <w:p>
            <w:r>
              <w:t>https://wap.miit.gov.cn/cms_files/filemanager/1226211233/attach/20259/9d0824a8e8a84abf858f3cb96a6d7385.pdf</w:t>
            </w:r>
          </w:p>
        </w:tc>
        <w:tc>
          <w:tcPr>
            <w:tcW w:type="dxa" w:w="1234"/>
          </w:tcPr>
          <w:p>
            <w:r>
              <w:t>2026-09-04</w:t>
            </w:r>
          </w:p>
        </w:tc>
        <w:tc>
          <w:tcPr>
            <w:tcW w:type="dxa" w:w="1234"/>
          </w:tcPr>
          <w:p>
            <w:r>
              <w:t>VERIFIED (primary)</w:t>
            </w:r>
          </w:p>
        </w:tc>
        <w:tc>
          <w:tcPr>
            <w:tcW w:type="dxa" w:w="1234"/>
          </w:tcPr>
          <w:p>
            <w:r>
              <w:t>Mandatory status, consistency requirement</w:t>
            </w:r>
          </w:p>
        </w:tc>
      </w:tr>
      <w:tr>
        <w:tc>
          <w:tcPr>
            <w:tcW w:type="dxa" w:w="1234"/>
          </w:tcPr>
          <w:p>
            <w:r>
              <w:t>VIN segment explanation</w:t>
            </w:r>
          </w:p>
        </w:tc>
        <w:tc>
          <w:tcPr>
            <w:tcW w:type="dxa" w:w="1234"/>
          </w:tcPr>
          <w:p>
            <w:r>
              <w:t>Pacific Auto</w:t>
            </w:r>
          </w:p>
        </w:tc>
        <w:tc>
          <w:tcPr>
            <w:tcW w:type="dxa" w:w="1234"/>
          </w:tcPr>
          <w:p>
            <w:r>
              <w:t>CN</w:t>
            </w:r>
          </w:p>
        </w:tc>
        <w:tc>
          <w:tcPr>
            <w:tcW w:type="dxa" w:w="1234"/>
          </w:tcPr>
          <w:p>
            <w:r>
              <w:t>http://m.pcauto.com.cn/x/5100/51002243.html</w:t>
            </w:r>
          </w:p>
        </w:tc>
        <w:tc>
          <w:tcPr>
            <w:tcW w:type="dxa" w:w="1234"/>
          </w:tcPr>
          <w:p>
            <w:r>
              <w:t>2026-09-04</w:t>
            </w:r>
          </w:p>
        </w:tc>
        <w:tc>
          <w:tcPr>
            <w:tcW w:type="dxa" w:w="1234"/>
          </w:tcPr>
          <w:p>
            <w:r>
              <w:t>SINGLE_SOURCE</w:t>
            </w:r>
          </w:p>
        </w:tc>
        <w:tc>
          <w:tcPr>
            <w:tcW w:type="dxa" w:w="1234"/>
          </w:tcPr>
          <w:p>
            <w:r>
              <w:t>Position-level explainer</w:t>
            </w:r>
          </w:p>
        </w:tc>
      </w:tr>
    </w:tbl>
    <w:p>
      <w:r>
        <w:t>*Blocked note: "Chinese WMI starts with L / some H" is UNVERIFIED and not stated as fact; WMI-prefix manufacturer mapping and destination VIN formats are out of scope.*</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道路车辆 车辆识别代号(VIN) GB16735-2019 条文(百科载体)</w:t>
            </w:r>
          </w:p>
        </w:tc>
        <w:tc>
          <w:tcPr>
            <w:tcW w:type="dxa" w:w="1234"/>
          </w:tcPr>
          <w:p>
            <w:r>
              <w:t>百科(国标条文载体)</w:t>
            </w:r>
          </w:p>
        </w:tc>
        <w:tc>
          <w:tcPr>
            <w:tcW w:type="dxa" w:w="1234"/>
          </w:tcPr>
          <w:p>
            <w:r>
              <w:t>CN</w:t>
            </w:r>
          </w:p>
        </w:tc>
        <w:tc>
          <w:tcPr>
            <w:tcW w:type="dxa" w:w="1234"/>
          </w:tcPr>
          <w:p>
            <w:r>
              <w:t>https://m.baike.com/wiki/%E8%BD%A6%E8%BE%86%E8%AF%86%E5%88%AB%E5%8F%B7%E7%A0%81/1470666</w:t>
            </w:r>
          </w:p>
        </w:tc>
        <w:tc>
          <w:tcPr>
            <w:tcW w:type="dxa" w:w="1234"/>
          </w:tcPr>
          <w:p>
            <w:r>
              <w:t>2026-09-04</w:t>
            </w:r>
          </w:p>
        </w:tc>
        <w:tc>
          <w:tcPr>
            <w:tcW w:type="dxa" w:w="1234"/>
          </w:tcPr>
          <w:p>
            <w:r>
              <w:t>SINGLE_SOURCE</w:t>
            </w:r>
          </w:p>
        </w:tc>
        <w:tc>
          <w:tcPr>
            <w:tcW w:type="dxa" w:w="1234"/>
          </w:tcPr>
          <w:p>
            <w:r>
              <w:t>VIN=WMI+VDS+VIS共17位(以标准正文为准)</w:t>
            </w:r>
          </w:p>
        </w:tc>
      </w:tr>
    </w:tbl>
    <w:p/>
    <w:p>
      <w:pPr>
        <w:pStyle w:val="Heading2"/>
      </w:pPr>
      <w:r>
        <w:t>Editorial Review</w:t>
      </w:r>
    </w:p>
    <w:p>
      <w:pPr>
        <w:pStyle w:val="ListBullet"/>
      </w:pPr>
      <w:r>
        <w:rPr>
          <w:b/>
        </w:rPr>
        <w:t>Author</w:t>
      </w:r>
      <w:r>
        <w:t>: AutoBridge Export Editorial Team · method per our [Editorial Policy](/editorial-policy/)</w:t>
      </w:r>
    </w:p>
    <w:p>
      <w:pPr>
        <w:pStyle w:val="ListBullet"/>
      </w:pPr>
      <w:r>
        <w:rPr>
          <w:b/>
        </w:rPr>
        <w:t>Last reviewed</w:t>
      </w:r>
      <w:r>
        <w:t>: 2026-09-05</w:t>
      </w:r>
    </w:p>
    <w:p>
      <w:pPr>
        <w:pStyle w:val="ListBullet"/>
      </w:pPr>
      <w:r>
        <w:rPr>
          <w:b/>
        </w:rPr>
        <w:t>Reference market</w:t>
      </w:r>
      <w:r>
        <w:t>: Chinese VIN standard (destination VIN rules excluded)</w:t>
      </w:r>
    </w:p>
    <w:p>
      <w:pPr>
        <w:pStyle w:val="ListBullet"/>
      </w:pPr>
      <w:r>
        <w:rPr>
          <w:b/>
        </w:rPr>
        <w:t>Verification method</w:t>
      </w:r>
      <w:r>
        <w:t>: GB16735-2019 official standard text + MIIT mandatory citation; unverified first-letter origin rule removed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Pr>
        <w:pStyle w:val="ListBullet"/>
      </w:pPr>
      <w:r>
        <w:rPr>
          <w:b/>
        </w:rPr>
        <w:t>Editorial standard</w:t>
      </w:r>
      <w:r>
        <w:t>: Researched and written from the sources listed above (desk research; no first-hand driving, teardown or import is claimed). Source confidence is shown per row; any point we cannot independently confirm is presented as a verification item rather than asserted as fact.</w:t>
      </w:r>
    </w:p>
    <w:p/>
    <w:p>
      <w:r>
        <w:rPr>
          <w:b/>
        </w:rPr>
        <w:t>Tags</w:t>
      </w:r>
      <w:r>
        <w:t>: #VIN #GB16735 #Nameplate #VehicleVerification #ExportCompliance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