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 Export VAT Refund — Methods, Filing Order and Rate Lookup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Export VAT Refund for Vehicles: Exemption-Credit-Refund vs Exemption-Refund Process</w:t>
      </w:r>
    </w:p>
    <w:p>
      <w:pPr>
        <w:pStyle w:val="ListBullet"/>
      </w:pPr>
      <w:r>
        <w:rPr>
          <w:b/>
        </w:rPr>
        <w:t>Meta Description</w:t>
      </w:r>
      <w:r>
        <w:t>: How Chinese vehicle exporters claim export VAT treatment: the two methods (exemption-credit-refund for production enterprises, exemption-refund for traders), filing order, and why the refund rate is HS-specific.</w:t>
      </w:r>
    </w:p>
    <w:p>
      <w:pPr>
        <w:pStyle w:val="ListBullet"/>
      </w:pPr>
      <w:r>
        <w:rPr>
          <w:b/>
        </w:rPr>
        <w:t>H1</w:t>
      </w:r>
      <w:r>
        <w:t>: China Export VAT Refund — Methods, Filing Order and Rate Lookup</w:t>
      </w:r>
    </w:p>
    <w:p>
      <w:pPr>
        <w:pStyle w:val="ListBullet"/>
      </w:pPr>
      <w:r>
        <w:rPr>
          <w:b/>
        </w:rPr>
        <w:t>Primary Keyword</w:t>
      </w:r>
      <w:r>
        <w:t>: china export vat refund process</w:t>
      </w:r>
    </w:p>
    <w:p>
      <w:pPr>
        <w:pStyle w:val="ListBullet"/>
      </w:pPr>
      <w:r>
        <w:rPr>
          <w:b/>
        </w:rPr>
        <w:t>Secondary Search Terms</w:t>
      </w:r>
      <w:r>
        <w:t>: export VAT refund; exemption credit refund; export tax rebate; refund rate; China tax</w:t>
      </w:r>
    </w:p>
    <w:p>
      <w:pPr>
        <w:pStyle w:val="ListBullet"/>
      </w:pPr>
      <w:r>
        <w:rPr>
          <w:b/>
        </w:rPr>
        <w:t>Suggested URL</w:t>
      </w:r>
      <w:r>
        <w:t>: /guides/china-export-vat-refund-process/</w:t>
      </w:r>
    </w:p>
    <w:p>
      <w:pPr>
        <w:pStyle w:val="ListBullet"/>
      </w:pPr>
      <w:r>
        <w:rPr>
          <w:b/>
        </w:rPr>
        <w:t>Search Intent</w:t>
      </w:r>
      <w:r>
        <w:t>: 生产企业与外贸企业如何办理出口货物增值税退（免）税、申报流程、计算逻辑与退税率查询</w:t>
      </w:r>
    </w:p>
    <w:p>
      <w:pPr>
        <w:pStyle w:val="ListBullet"/>
      </w:pPr>
      <w:r>
        <w:rPr>
          <w:b/>
        </w:rPr>
        <w:t>Internal Link Suggestions</w:t>
      </w:r>
      <w:r>
        <w:t>: /guides/china-export-customs-declaration-single-window/, /guides/export-fx-settlement-trade-fx-registration/, /guides/vehicle-export-hs-code-history/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Two methods, matched to enterprise type</w:t>
      </w:r>
    </w:p>
    <w:p>
      <w:r>
        <w:t xml:space="preserve">China's export VAT arrangements use two principal methods. A </w:t>
      </w:r>
      <w:r>
        <w:rPr>
          <w:b/>
        </w:rPr>
        <w:t>production/manufacturing enterprise</w:t>
      </w:r>
      <w:r>
        <w:t xml:space="preserve"> applies </w:t>
      </w:r>
      <w:r>
        <w:rPr>
          <w:b/>
        </w:rPr>
        <w:t>exemption–credit–refund (免抵退)</w:t>
      </w:r>
      <w:r>
        <w:t xml:space="preserve">: export output VAT is exempt, input VAT is credited against domestic output VAT and the residual is refunded. A </w:t>
      </w:r>
      <w:r>
        <w:rPr>
          <w:b/>
        </w:rPr>
        <w:t>foreign-trade/commercial enterprise</w:t>
      </w:r>
      <w:r>
        <w:t xml:space="preserve"> that buys and resells for export generally applies </w:t>
      </w:r>
      <w:r>
        <w:rPr>
          <w:b/>
        </w:rPr>
        <w:t>exemption–refund (免退)</w:t>
      </w:r>
      <w:r>
        <w:t>: the export sale is exempt and the corresponding input VAT is refunded. Using the wrong method for the entity type is a basic filing error.</w:t>
      </w:r>
    </w:p>
    <w:p/>
    <w:p>
      <w:pPr>
        <w:pStyle w:val="Heading2"/>
      </w:pPr>
      <w:r>
        <w:t>The calculation and filing order</w:t>
      </w:r>
    </w:p>
    <w:p>
      <w:r>
        <w:t>The period refund/credit is computed from export sales, creditable input tax and the applicable refund rate. Filing follows the export event: after customs declaration and with the matching invoice, FX receipt and declaration data, the enterprise files the refund/exemption return within the prescribed period, then completes verification/write-off. Documents must reconcile across customs, tax and FX.</w:t>
      </w:r>
    </w:p>
    <w:p/>
    <w:p>
      <w:pPr>
        <w:pStyle w:val="Heading2"/>
      </w:pPr>
      <w:r>
        <w:t>The refund rate is per HS code — and is not guessed</w:t>
      </w:r>
    </w:p>
    <w:p>
      <w:r>
        <w:t xml:space="preserve">The export VAT refund rate is set by </w:t>
      </w:r>
      <w:r>
        <w:rPr>
          <w:b/>
        </w:rPr>
        <w:t>HS code/product</w:t>
      </w:r>
      <w:r>
        <w:t xml:space="preserve"> and changes over time. This guide deliberately states </w:t>
      </w:r>
      <w:r>
        <w:rPr>
          <w:b/>
        </w:rPr>
        <w:t>no numeric rate</w:t>
      </w:r>
      <w:r>
        <w:t>: look up the current rate for the exact 10-digit HS code on the day, because quoting a stale rate distorts the landed-cost model. Time-sensitive filing deadlines likewise come from the current STA notice.</w:t>
      </w:r>
    </w:p>
    <w:p/>
    <w:p>
      <w:pPr>
        <w:pStyle w:val="Heading2"/>
      </w:pPr>
      <w:r>
        <w:t>Why refund claims stall: the consistency traps</w:t>
      </w:r>
    </w:p>
    <w:p>
      <w:r>
        <w:t xml:space="preserve">Refund delays in vehicle export are rarely about the rate; they are about three records telling different stories. First, the </w:t>
      </w:r>
      <w:r>
        <w:rPr>
          <w:b/>
        </w:rPr>
        <w:t>name, quantity and HS code on the VAT special invoice must match the customs declaration and the bill of lading</w:t>
      </w:r>
      <w:r>
        <w:t xml:space="preserve"> — a truck described on the invoice by a trade nickname but declared under a different commodity code breaks the comparison tax authorities run against customs data. Second, </w:t>
      </w:r>
      <w:r>
        <w:rPr>
          <w:b/>
        </w:rPr>
        <w:t>funds flow must correspond to goods flow</w:t>
      </w:r>
      <w:r>
        <w:t xml:space="preserve">: the export FX receipt should reconcile with the declared value and the counterparty, which is why payment terms and the FX-settlement record cannot be treated as unrelated paperwork. Third, </w:t>
      </w:r>
      <w:r>
        <w:rPr>
          <w:b/>
        </w:rPr>
        <w:t>timing must be internally consistent</w:t>
      </w:r>
      <w:r>
        <w:t xml:space="preserve"> — invoice issue, declaration, departure and receipt should form a plausible sequence; out-of-order dates trigger manual review even when every paper exists. For an overseas buyer these matter because a Chinese exporter whose refund is blocked on consistency grounds may slow the order or re-open pricing to recover tied-up input tax. Confirming entity type, exact HS classification and that invoice–customs–FX records reconcile is therefore a legitimate pre-payment diligence question.</w:t>
      </w:r>
    </w:p>
    <w:p/>
    <w:p>
      <w:pPr>
        <w:pStyle w:val="Heading2"/>
      </w:pPr>
      <w:r>
        <w:t>Operating checklist</w:t>
      </w:r>
    </w:p>
    <w:p>
      <w:pPr>
        <w:pStyle w:val="ListNumber"/>
      </w:pPr>
      <w:r>
        <w:t>Identify entity type and the correct method (免抵退 vs 免退).</w:t>
      </w:r>
    </w:p>
    <w:p>
      <w:pPr>
        <w:pStyle w:val="ListNumber"/>
      </w:pPr>
      <w:r>
        <w:t xml:space="preserve">Classify the exact HS code and look up the </w:t>
      </w:r>
      <w:r>
        <w:rPr>
          <w:b/>
        </w:rPr>
        <w:t>current</w:t>
      </w:r>
      <w:r>
        <w:t xml:space="preserve"> refund rate.</w:t>
      </w:r>
    </w:p>
    <w:p>
      <w:pPr>
        <w:pStyle w:val="ListNumber"/>
      </w:pPr>
      <w:r>
        <w:t>Gather declaration, special VAT invoice and FX-receipt evidence so they reconcile.</w:t>
      </w:r>
    </w:p>
    <w:p>
      <w:pPr>
        <w:pStyle w:val="ListNumber"/>
      </w:pPr>
      <w:r>
        <w:t>File within the prescribed period; complete verification/write-off.</w:t>
      </w:r>
    </w:p>
    <w:p>
      <w:pPr>
        <w:pStyle w:val="ListNumber"/>
      </w:pPr>
      <w:r>
        <w:t>Keep the calculation trail for tax inspection.</w:t>
      </w:r>
    </w:p>
    <w:p/>
    <w:p>
      <w:pPr>
        <w:pStyle w:val="Heading2"/>
      </w:pPr>
      <w:r>
        <w:t>Boundaries</w:t>
      </w:r>
    </w:p>
    <w:p>
      <w:r>
        <w:t>No rates, deadlines-as-fixed-numbers or case-specific amounts are provided here; all are HS- and time-specific and sourced from STA/MOF current notices.</w:t>
      </w:r>
    </w:p>
    <w:p/>
    <w:p>
      <w:pPr>
        <w:pStyle w:val="Heading2"/>
      </w:pPr>
      <w:r>
        <w:t>FAQ</w:t>
      </w:r>
    </w:p>
    <w:p>
      <w:r>
        <w:rPr>
          <w:b/>
        </w:rPr>
        <w:t>Which method does a factory use?</w:t>
      </w:r>
      <w:r>
        <w:t xml:space="preserve"> Generally exemption–credit–refund (免抵退).</w:t>
      </w:r>
    </w:p>
    <w:p>
      <w:r>
        <w:rPr>
          <w:b/>
        </w:rPr>
        <w:t>Which does a trading company use?</w:t>
      </w:r>
      <w:r>
        <w:t xml:space="preserve"> Generally exemption–refund (免退).</w:t>
      </w:r>
    </w:p>
    <w:p>
      <w:r>
        <w:rPr>
          <w:b/>
        </w:rPr>
        <w:t>What is the refund rate for cars?</w:t>
      </w:r>
      <w:r>
        <w:t xml:space="preserve"> It is HS-specific and changes — look it up by exact code; it is not stated here.</w:t>
      </w:r>
    </w:p>
    <w:p>
      <w:r>
        <w:rPr>
          <w:b/>
        </w:rPr>
        <w:t>When do I file?</w:t>
      </w:r>
      <w:r>
        <w:t xml:space="preserve"> After export declaration with matching documents, within the current prescribed period.</w:t>
      </w:r>
    </w:p>
    <w:p>
      <w:r>
        <w:rPr>
          <w:b/>
        </w:rPr>
        <w:t>Why must FX and customs match?</w:t>
      </w:r>
      <w:r>
        <w:t xml:space="preserve"> The refund relies on goods-flow/funds-flow consistency.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出口业务增值税和消费税退(免)税管理办法（税务总局公告）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https://www.gov.cn/zhengce/zhengceku/202602/content_7056762.htm</w:t>
            </w:r>
          </w:p>
        </w:tc>
        <w:tc>
          <w:tcPr>
            <w:tcW w:type="dxa" w:w="1234"/>
          </w:tcPr>
          <w:p>
            <w:r>
              <w:t>申报期限, 免抵退申报资料</w:t>
            </w:r>
          </w:p>
        </w:tc>
      </w:tr>
      <w:tr>
        <w:tc>
          <w:tcPr>
            <w:tcW w:type="dxa" w:w="1234"/>
          </w:tcPr>
          <w:p>
            <w:r>
              <w:t>关于出口业务增值税和消费税政策的公告</w:t>
            </w:r>
          </w:p>
        </w:tc>
        <w:tc>
          <w:tcPr>
            <w:tcW w:type="dxa" w:w="1234"/>
          </w:tcPr>
          <w:p>
            <w:r>
              <w:t>中华人民共和国财政部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https://www.mof.gov.cn/jrttts/202602/t20260203_3983176.htm</w:t>
            </w:r>
          </w:p>
        </w:tc>
        <w:tc>
          <w:tcPr>
            <w:tcW w:type="dxa" w:w="1234"/>
          </w:tcPr>
          <w:p>
            <w:r>
              <w:t>免抵退/免退税办法定义</w:t>
            </w:r>
          </w:p>
        </w:tc>
      </w:tr>
      <w:tr>
        <w:tc>
          <w:tcPr>
            <w:tcW w:type="dxa" w:w="1234"/>
          </w:tcPr>
          <w:p>
            <w:r>
              <w:t>出口货物劳务免抵退税和免退税如何计算</w:t>
            </w:r>
          </w:p>
        </w:tc>
        <w:tc>
          <w:tcPr>
            <w:tcW w:type="dxa" w:w="1234"/>
          </w:tcPr>
          <w:p>
            <w:r>
              <w:t>国家税务总局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https://www.chinatax.gov.cn/chinatax/c102449/c5237525/content.html</w:t>
            </w:r>
          </w:p>
        </w:tc>
        <w:tc>
          <w:tcPr>
            <w:tcW w:type="dxa" w:w="1234"/>
          </w:tcPr>
          <w:p>
            <w:r>
              <w:t>当期应退/免抵税额计算</w:t>
            </w:r>
          </w:p>
        </w:tc>
      </w:tr>
      <w:tr>
        <w:tc>
          <w:tcPr>
            <w:tcW w:type="dxa" w:w="1234"/>
          </w:tcPr>
          <w:p>
            <w:r>
              <w:t>进出口税收热点问题（2026年7月）</w:t>
            </w:r>
          </w:p>
        </w:tc>
        <w:tc>
          <w:tcPr>
            <w:tcW w:type="dxa" w:w="1234"/>
          </w:tcPr>
          <w:p>
            <w:r>
              <w:t>国家税务总局北京市税务局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http://beijing.chinatax.gov.cn/bjswj/c105390/202608/ec1a021ae3af4c368e72684ca1bbe4df.shtml</w:t>
            </w:r>
          </w:p>
        </w:tc>
        <w:tc>
          <w:tcPr>
            <w:tcW w:type="dxa" w:w="1234"/>
          </w:tcPr>
          <w:p>
            <w:r>
              <w:t>报关后申报与核销</w:t>
            </w:r>
          </w:p>
        </w:tc>
      </w:tr>
      <w:tr>
        <w:tc>
          <w:tcPr>
            <w:tcW w:type="dxa" w:w="1234"/>
          </w:tcPr>
          <w:p>
            <w:r>
              <w:t>State Taxation Administration (STA)</w:t>
            </w:r>
          </w:p>
        </w:tc>
        <w:tc>
          <w:tcPr>
            <w:tcW w:type="dxa" w:w="1234"/>
          </w:tcPr>
          <w:p>
            <w:r>
              <w:t>STA 国家税务总局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https://www.chinatax.gov.cn/</w:t>
            </w:r>
          </w:p>
        </w:tc>
        <w:tc>
          <w:tcPr>
            <w:tcW w:type="dxa" w:w="1234"/>
          </w:tcPr>
          <w:p>
            <w:r>
              <w:t>export VAT refund/exemption authority</w:t>
            </w:r>
          </w:p>
        </w:tc>
      </w:tr>
      <w:tr>
        <w:tc>
          <w:tcPr>
            <w:tcW w:type="dxa" w:w="1234"/>
          </w:tcPr>
          <w:p>
            <w:r>
              <w:t>GACC — export declaration as VAT-refund verification basis</w:t>
            </w:r>
          </w:p>
        </w:tc>
        <w:tc>
          <w:tcPr>
            <w:tcW w:type="dxa" w:w="1234"/>
          </w:tcPr>
          <w:p>
            <w:r>
              <w:t>General Administration of Customs of China (海关总署 GACC)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</w:t>
            </w:r>
          </w:p>
        </w:tc>
        <w:tc>
          <w:tcPr>
            <w:tcW w:type="dxa" w:w="1234"/>
          </w:tcPr>
          <w:p>
            <w:r>
              <w:t>Customs export declaration data is matched by tax authorities to verify export VAT refund/refund-exemption eligibility</w:t>
            </w:r>
          </w:p>
        </w:tc>
      </w:tr>
      <w:tr>
        <w:tc>
          <w:tcPr>
            <w:tcW w:type="dxa" w:w="1234"/>
          </w:tcPr>
          <w:p>
            <w:r>
              <w:t>STA — export VAT refund policy index (deep page)</w:t>
            </w:r>
          </w:p>
        </w:tc>
        <w:tc>
          <w:tcPr>
            <w:tcW w:type="dxa" w:w="1234"/>
          </w:tcPr>
          <w:p>
            <w:r>
              <w:t>State Taxation Administration (国家税务总局 STA)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https://www.chinatax.gov.cn/chinatax/n810341/n810755/</w:t>
            </w:r>
          </w:p>
        </w:tc>
        <w:tc>
          <w:tcPr>
            <w:tcW w:type="dxa" w:w="1234"/>
          </w:tcPr>
          <w:p>
            <w:r>
              <w:t>Tax-authority policy column carrying current export VAT refund/exemption announcements (no rebate rate asserted here)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CN（中国税务侧）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China Export VAT Refund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export VAT refund,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export VAT refund,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export VAT refund,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export VAT refund,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export VAT refund,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export VAT refund,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export VAT refund,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export VAT refund,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export VAT refund,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export VAT refund,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export VAT refund,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export VAT refund, 中国市场procurement guide·出口采购参考</w:t>
      </w:r>
    </w:p>
    <w:p/>
    <w:p/>
    <w:p>
      <w:r>
        <w:t>#AutoBridge #ChinaCarExport #ExportProcurement #VATRefund #ExportTax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