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Importing Chinese Commercial Trucks Into Saudi Arabia: an HS-First SABER, SASO and ZATCA Routing Guide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Import Chinese Trucks to Saudi Arabia: HS-First SABER &amp; ZATCA Guide</w:t>
      </w:r>
    </w:p>
    <w:p>
      <w:pPr>
        <w:pStyle w:val="ListBullet"/>
      </w:pPr>
      <w:r>
        <w:rPr>
          <w:b/>
        </w:rPr>
        <w:t>Meta Description</w:t>
      </w:r>
      <w:r>
        <w:t>: Route a Chinese commercial truck into Saudi Arabia the correct order — exact HS code (87.01/87.04/87.05/8716), the SABER technical regulation that applies to that code, the certificate type it requires, then Fasah customs; plus the ZATCA light-vehicle vs truck distinction.</w:t>
      </w:r>
    </w:p>
    <w:p>
      <w:pPr>
        <w:pStyle w:val="ListBullet"/>
      </w:pPr>
      <w:r>
        <w:rPr>
          <w:b/>
        </w:rPr>
        <w:t>Suggested URL</w:t>
      </w:r>
      <w:r>
        <w:t>: /guides/import-chinese-truck-saudi-saso/</w:t>
      </w:r>
    </w:p>
    <w:p>
      <w:pPr>
        <w:pStyle w:val="ListBullet"/>
      </w:pPr>
      <w:r>
        <w:rPr>
          <w:b/>
        </w:rPr>
        <w:t>H1</w:t>
      </w:r>
      <w:r>
        <w:t>: Clearing a Chinese Commercial Truck Into Saudi Arabia: Start From the HS Code, Not From a Generic Process</w:t>
      </w:r>
    </w:p>
    <w:p>
      <w:pPr>
        <w:pStyle w:val="ListBullet"/>
      </w:pPr>
      <w:r>
        <w:rPr>
          <w:b/>
        </w:rPr>
        <w:t>Primary Keyword</w:t>
      </w:r>
      <w:r>
        <w:t>: import Chinese commercial truck Saudi Arabia HS code SABER ZATCA</w:t>
      </w:r>
    </w:p>
    <w:p>
      <w:pPr>
        <w:pStyle w:val="ListBullet"/>
      </w:pPr>
      <w:r>
        <w:rPr>
          <w:b/>
        </w:rPr>
        <w:t>Secondary Search Terms</w:t>
      </w:r>
      <w:r>
        <w:t>: SABER technical regulation by HS, SASO certificate type truck 8701 8704 8705, Saudi ZATCA tariff commercial vehicle, Fasah customs Saudi, GCC LHD truck certification, SABER PCoC SCoC vehicle</w:t>
      </w:r>
    </w:p>
    <w:p>
      <w:pPr>
        <w:pStyle w:val="ListBullet"/>
      </w:pPr>
      <w:r>
        <w:rPr>
          <w:b/>
        </w:rPr>
        <w:t>Internal Link Suggestions</w:t>
      </w:r>
      <w:r>
        <w:t>: /vehicles/shacman-x3000-dump-truck/ ; /vehicles/sinotruk-howo-t7h-tractor/ ; /guides/commercial-truck-fleet-procurement-china/</w:t>
      </w:r>
    </w:p>
    <w:p>
      <w:pPr>
        <w:pStyle w:val="ListBullet"/>
      </w:pPr>
      <w:r>
        <w:rPr>
          <w:b/>
        </w:rPr>
        <w:t>Image Suggestions</w:t>
      </w:r>
      <w:r>
        <w:t>: HS-code-to-certificate routing diagram; SABER certificate-type decision tree; VIN-matched document set; ZATCA light-vehicle-vs-truck scope diagram</w:t>
      </w:r>
    </w:p>
    <w:p>
      <w:pPr>
        <w:pStyle w:val="ListBullet"/>
      </w:pPr>
      <w:r>
        <w:rPr>
          <w:b/>
        </w:rPr>
        <w:t>ALT Suggestions</w:t>
      </w:r>
      <w:r>
        <w:t>: "HS code to SABER technical regulation to certificate routing"; "certificate-type decision for Saudi truck import"</w:t>
      </w:r>
    </w:p>
    <w:p>
      <w:pPr>
        <w:pStyle w:val="Heading2"/>
      </w:pPr>
      <w:r>
        <w:t>Why "One National Process" Is the Wrong Starting Point for a Truck</w:t>
      </w:r>
    </w:p>
    <w:p>
      <w:r>
        <w:t xml:space="preserve">Saudi market-access material is often written for passenger cars and light vehicles and then copied onto heavy commercial trucks. For a tractor, cargo truck, special-purpose vehicle or trailer that shortcut is unsafe: </w:t>
      </w:r>
      <w:r>
        <w:rPr>
          <w:b/>
        </w:rPr>
        <w:t>the applicable technical regulation, the required certificate type and even the tariff line all depend on the exact HS code</w:t>
      </w:r>
      <w:r>
        <w:t xml:space="preserve">, and they are not identical across headings. This guide is therefore built </w:t>
      </w:r>
      <w:r>
        <w:rPr>
          <w:b/>
        </w:rPr>
        <w:t>HS-first</w:t>
      </w:r>
      <w:r>
        <w:t xml:space="preserve">, and it is specific to </w:t>
      </w:r>
      <w:r>
        <w:rPr>
          <w:b/>
        </w:rPr>
        <w:t>Saudi Arabia</w:t>
      </w:r>
      <w:r>
        <w:t>, not a generic "Middle East" statement. A separate distinction is maintained throughout: durable, officially documented rules are stated as such, while unconfirmed 2026 dealer claims appear only on a watchlist.</w:t>
      </w:r>
    </w:p>
    <w:p>
      <w:pPr>
        <w:pStyle w:val="Heading2"/>
      </w:pPr>
      <w:r>
        <w:t>Step 1 — Pin the Exact HS Code First</w:t>
      </w:r>
    </w:p>
    <w:p>
      <w:r>
        <w:t xml:space="preserve">Classify the unit to its </w:t>
      </w:r>
      <w:r>
        <w:rPr>
          <w:b/>
        </w:rPr>
        <w:t>full subheading before</w:t>
      </w:r>
      <w:r>
        <w:t xml:space="preserve"> choosing any conformity route or tax figure:</w:t>
      </w:r>
    </w:p>
    <w:p>
      <w:pPr>
        <w:pStyle w:val="ListBullet"/>
      </w:pPr>
      <w:r>
        <w:rPr>
          <w:b/>
        </w:rPr>
        <w:t>87.01</w:t>
      </w:r>
      <w:r>
        <w:t xml:space="preserve"> tractors (incl. road tractors for semi-trailers)</w:t>
      </w:r>
    </w:p>
    <w:p>
      <w:pPr>
        <w:pStyle w:val="ListBullet"/>
      </w:pPr>
      <w:r>
        <w:rPr>
          <w:b/>
        </w:rPr>
        <w:t>87.04</w:t>
      </w:r>
      <w:r>
        <w:t xml:space="preserve"> motor vehicles for the transport of goods (dropside, box, dump/tipper, mixer chassis, etc.)</w:t>
      </w:r>
    </w:p>
    <w:p>
      <w:pPr>
        <w:pStyle w:val="ListBullet"/>
      </w:pPr>
      <w:r>
        <w:rPr>
          <w:b/>
        </w:rPr>
        <w:t>87.05</w:t>
      </w:r>
      <w:r>
        <w:t xml:space="preserve"> special-purpose motor vehicles (mobile cranes, concrete pumps, sweepers, fire/rescue, workshop trucks)</w:t>
      </w:r>
    </w:p>
    <w:p>
      <w:pPr>
        <w:pStyle w:val="ListBullet"/>
      </w:pPr>
      <w:r>
        <w:rPr>
          <w:b/>
        </w:rPr>
        <w:t>8716</w:t>
      </w:r>
      <w:r>
        <w:t xml:space="preserve"> trailers and semi-trailers (and certain non-self-propelled units)</w:t>
      </w:r>
    </w:p>
    <w:p>
      <w:r>
        <w:t>The subheading (not just the four-digit heading) matters: a tipper, a tractor unit and a mounted superstructure can sit in different codes with different obligations. Record the HS code on the pro forma and keep it consistent with the invoice description — every later step references it.</w:t>
      </w:r>
    </w:p>
    <w:p>
      <w:pPr>
        <w:pStyle w:val="Heading2"/>
      </w:pPr>
      <w:r>
        <w:t>Step 2 — Map That HS Code to Its SABER Technical Regulation</w:t>
      </w:r>
    </w:p>
    <w:p>
      <w:r>
        <w:t xml:space="preserve">Saudi product/vehicle conformity runs through the national </w:t>
      </w:r>
      <w:r>
        <w:rPr>
          <w:b/>
        </w:rPr>
        <w:t>SABER</w:t>
      </w:r>
      <w:r>
        <w:t xml:space="preserve"> platform, overseen by the </w:t>
      </w:r>
      <w:r>
        <w:rPr>
          <w:b/>
        </w:rPr>
        <w:t>Saudi Standards, Metrology and Quality Organization (SASO)</w:t>
      </w:r>
      <w:r>
        <w:t xml:space="preserve">; SABER connects importers, SASO-accredited conformity-assessment bodies and Saudi customs (official platform saber.sa; the US International Trade Administration describes the same architecture — VERIFIED). </w:t>
      </w:r>
      <w:r>
        <w:rPr>
          <w:b/>
        </w:rPr>
        <w:t>Do not assume every commercial truck follows one regulation.</w:t>
      </w:r>
      <w:r>
        <w:t xml:space="preserve"> For the pinned HS code, identify on SABER (or via an accredited body, in writing) </w:t>
      </w:r>
      <w:r>
        <w:rPr>
          <w:b/>
        </w:rPr>
        <w:t>which Saudi technical regulation(s) actually cover it</w:t>
      </w:r>
      <w:r>
        <w:t xml:space="preserve"> — a road tractor, a goods vehicle and a special-purpose superstructure can fall under different scopes, and mounted equipment may carry its own regulation.</w:t>
      </w:r>
    </w:p>
    <w:p>
      <w:pPr>
        <w:pStyle w:val="Heading2"/>
      </w:pPr>
      <w:r>
        <w:t>Step 3 — Determine the Required Certificate Type for That Regulation</w:t>
      </w:r>
    </w:p>
    <w:p>
      <w:r>
        <w:t>The familiar SABER pair is:</w:t>
      </w:r>
    </w:p>
    <w:p>
      <w:pPr>
        <w:pStyle w:val="ListBullet"/>
      </w:pPr>
      <w:r>
        <w:rPr>
          <w:b/>
        </w:rPr>
        <w:t>PCoC (Product Certificate of Conformity)</w:t>
      </w:r>
      <w:r>
        <w:t xml:space="preserve"> — model/product level against the applicable regulation, typically valid for a period and obtained </w:t>
      </w:r>
      <w:r>
        <w:rPr>
          <w:b/>
        </w:rPr>
        <w:t>before shipment</w:t>
      </w:r>
      <w:r>
        <w:t>;</w:t>
      </w:r>
    </w:p>
    <w:p>
      <w:pPr>
        <w:pStyle w:val="ListBullet"/>
      </w:pPr>
      <w:r>
        <w:rPr>
          <w:b/>
        </w:rPr>
        <w:t>SCoC (Shipment Certificate of Conformity)</w:t>
      </w:r>
      <w:r>
        <w:t xml:space="preserve"> — </w:t>
      </w:r>
      <w:r>
        <w:rPr>
          <w:b/>
        </w:rPr>
        <w:t>per shipment</w:t>
      </w:r>
      <w:r>
        <w:t>, tied to the invoice and bill of lading.</w:t>
      </w:r>
    </w:p>
    <w:p>
      <w:r>
        <w:t xml:space="preserve">But PCoC→SCoC is the model for SABER-regulated products; it is </w:t>
      </w:r>
      <w:r>
        <w:rPr>
          <w:b/>
        </w:rPr>
        <w:t>not safe to assume it is the uniform route for every commercial-vehicle HS line</w:t>
      </w:r>
      <w:r>
        <w:t xml:space="preserve">. Depending on the heading/regulation, the requirement may instead involve a different </w:t>
      </w:r>
      <w:r>
        <w:rPr>
          <w:b/>
        </w:rPr>
        <w:t>COC form, a quality-mark (QM) route, a supplier/self-declaration, or a vehicle-specific import procedure</w:t>
      </w:r>
      <w:r>
        <w:t xml:space="preserve">. Determine the required certificate type </w:t>
      </w:r>
      <w:r>
        <w:rPr>
          <w:b/>
        </w:rPr>
        <w:t>from the HS→regulation mapping in Step 2</w:t>
      </w:r>
      <w:r>
        <w:t>, confirmed by an accredited body, rather than defaulting every truck to PCoC→SCoC.</w:t>
      </w:r>
    </w:p>
    <w:p>
      <w:pPr>
        <w:pStyle w:val="Heading2"/>
      </w:pPr>
      <w:r>
        <w:t>Step 4 — Shipment and Customs (Fasah), With One VIN Master List</w:t>
      </w:r>
    </w:p>
    <w:p>
      <w:r>
        <w:t xml:space="preserve">Once the certificate route is known, clearance is lodged through Saudi customs' </w:t>
      </w:r>
      <w:r>
        <w:rPr>
          <w:b/>
        </w:rPr>
        <w:t>Fasah</w:t>
      </w:r>
      <w:r>
        <w:t xml:space="preserve"> single window, and for SABER-regulated consignments the shipment certificate is tied to the invoice/B/L. Across whichever certificates apply, the invoice, packing list, B/L, certificate and chassis plate should be built from </w:t>
      </w:r>
      <w:r>
        <w:rPr>
          <w:b/>
        </w:rPr>
        <w:t>one VIN/chassis-number master list</w:t>
      </w:r>
      <w:r>
        <w:t xml:space="preserve"> and re-checked before sailing — a mismatch between the certified model and the shipped unit is the most common avoidable hold-up. Saudi Arabia/GCC is </w:t>
      </w:r>
      <w:r>
        <w:rPr>
          <w:b/>
        </w:rPr>
        <w:t>left-hand-drive (LHD)</w:t>
      </w:r>
      <w:r>
        <w:t>, matching Chinese LHD trucks, but lighting, speedometer units and Arabic labelling still need to meet the applicable requirements.</w:t>
      </w:r>
    </w:p>
    <w:p>
      <w:pPr>
        <w:pStyle w:val="Heading2"/>
      </w:pPr>
      <w:r>
        <w:t>ZATCA: the Light-Vehicle Figure Is Not the Truck Tariff</w:t>
      </w:r>
    </w:p>
    <w:p>
      <w:r>
        <w:t xml:space="preserve">Saudi tax/customs authority </w:t>
      </w:r>
      <w:r>
        <w:rPr>
          <w:b/>
        </w:rPr>
        <w:t>ZATCA</w:t>
      </w:r>
      <w:r>
        <w:t xml:space="preserve"> publishes vehicle guidance and a calculator in which </w:t>
      </w:r>
      <w:r>
        <w:rPr>
          <w:b/>
        </w:rPr>
        <w:t>5% customs duty and 15% VAT (VAT on the duty-inclusive value)</w:t>
      </w:r>
      <w:r>
        <w:t xml:space="preserve"> appear for the calculator's </w:t>
      </w:r>
      <w:r>
        <w:rPr>
          <w:b/>
        </w:rPr>
        <w:t>applicable light-vehicle/passenger scope</w:t>
      </w:r>
      <w:r>
        <w:t xml:space="preserve"> (ZATCA public guidance, reported 2026; CROSS_CHECKED and </w:t>
      </w:r>
      <w:r>
        <w:rPr>
          <w:b/>
        </w:rPr>
        <w:t>scope-limited to that light-vehicle category</w:t>
      </w:r>
      <w:r>
        <w:t xml:space="preserve">). It must </w:t>
      </w:r>
      <w:r>
        <w:rPr>
          <w:b/>
        </w:rPr>
        <w:t>not</w:t>
      </w:r>
      <w:r>
        <w:t xml:space="preserve"> be carried straight onto a commercial truck:</w:t>
      </w:r>
    </w:p>
    <w:p>
      <w:pPr>
        <w:pStyle w:val="ListNumber"/>
      </w:pPr>
      <w:r>
        <w:t xml:space="preserve">classify the </w:t>
      </w:r>
      <w:r>
        <w:rPr>
          <w:b/>
        </w:rPr>
        <w:t>exact HS code</w:t>
      </w:r>
      <w:r>
        <w:t xml:space="preserve"> (Step 1);</w:t>
      </w:r>
    </w:p>
    <w:p>
      <w:pPr>
        <w:pStyle w:val="ListNumber"/>
      </w:pPr>
      <w:r>
        <w:t xml:space="preserve">read the </w:t>
      </w:r>
      <w:r>
        <w:rPr>
          <w:b/>
        </w:rPr>
        <w:t>current ZATCA/GCC tariff line for that subheading</w:t>
      </w:r>
      <w:r>
        <w:t xml:space="preserve"> — goods-vehicle, tractor and special-purpose headings do not all share the passenger rate;</w:t>
      </w:r>
    </w:p>
    <w:p>
      <w:pPr>
        <w:pStyle w:val="ListNumber"/>
      </w:pPr>
      <w:r>
        <w:t xml:space="preserve">apply </w:t>
      </w:r>
      <w:r>
        <w:rPr>
          <w:b/>
        </w:rPr>
        <w:t>VAT to the applicable customs basis</w:t>
      </w:r>
      <w:r>
        <w:t xml:space="preserve"> for that code.</w:t>
      </w:r>
    </w:p>
    <w:p>
      <w:r>
        <w:t xml:space="preserve">This article therefore states </w:t>
      </w:r>
      <w:r>
        <w:rPr>
          <w:b/>
        </w:rPr>
        <w:t>no truck duty percentage</w:t>
      </w:r>
      <w:r>
        <w:t>: model duty and VAT together, HS-specific, from the current ZATCA line, and never from a freight blog or a passenger-car calculator.</w:t>
      </w:r>
    </w:p>
    <w:p>
      <w:pPr>
        <w:pStyle w:val="Heading2"/>
      </w:pPr>
      <w:r>
        <w:t>Reported 2026 Changes That Are NOT Treated as Fact</w:t>
      </w:r>
    </w:p>
    <w:p>
      <w:r>
        <w:t xml:space="preserve">These appear in dealer/logistics material but could not be traced to saso.gov.sa / saber.sa, and sources disagree on dates/scope. They are </w:t>
      </w:r>
      <w:r>
        <w:rPr>
          <w:b/>
        </w:rPr>
        <w:t>watchlist items to verify for your HS code, not requirements to quote</w:t>
      </w:r>
      <w:r>
        <w:t>:</w:t>
      </w:r>
    </w:p>
    <w:p>
      <w:pPr>
        <w:pStyle w:val="ListBullet"/>
      </w:pPr>
      <w:r>
        <w:t xml:space="preserve">A claimed </w:t>
      </w:r>
      <w:r>
        <w:rPr>
          <w:b/>
        </w:rPr>
        <w:t>mandatory "local" SASO type approval for newly imported heavy trucks</w:t>
      </w:r>
      <w:r>
        <w:t xml:space="preserve"> (foreign CE/ECE no longer accepted; Riyadh lab) — dealer notices give </w:t>
      </w:r>
      <w:r>
        <w:rPr>
          <w:b/>
        </w:rPr>
        <w:t>conflicting dates</w:t>
      </w:r>
      <w:r>
        <w:t xml:space="preserve"> (28 Jul/1 Aug vs 1 Aug/1 Sep), which itself shows it is not yet a citable rule.</w:t>
      </w:r>
    </w:p>
    <w:p>
      <w:pPr>
        <w:pStyle w:val="ListBullet"/>
      </w:pPr>
      <w:r>
        <w:t xml:space="preserve">Claimed </w:t>
      </w:r>
      <w:r>
        <w:rPr>
          <w:b/>
        </w:rPr>
        <w:t>ISO 22513-2 / RDI</w:t>
      </w:r>
      <w:r>
        <w:t xml:space="preserve"> and </w:t>
      </w:r>
      <w:r>
        <w:rPr>
          <w:b/>
        </w:rPr>
        <w:t>ADAS-type approval</w:t>
      </w:r>
      <w:r>
        <w:t xml:space="preserve"> requirements with inconsistent dates.</w:t>
      </w:r>
    </w:p>
    <w:p>
      <w:pPr>
        <w:pStyle w:val="ListBullet"/>
      </w:pPr>
      <w:r>
        <w:t xml:space="preserve">A claimed </w:t>
      </w:r>
      <w:r>
        <w:rPr>
          <w:b/>
        </w:rPr>
        <w:t>72-hour "green fast-track"</w:t>
      </w:r>
      <w:r>
        <w:t xml:space="preserve"> for Chinese NEV heavy trucks (single dealer source).</w:t>
      </w:r>
    </w:p>
    <w:p>
      <w:pPr>
        <w:pStyle w:val="ListBullet"/>
      </w:pPr>
      <w:r>
        <w:t xml:space="preserve">A claimed </w:t>
      </w:r>
      <w:r>
        <w:rPr>
          <w:b/>
        </w:rPr>
        <w:t>carbon-tax pilot</w:t>
      </w:r>
      <w:r>
        <w:t xml:space="preserve"> touching special vehicles (single manufacturer source).</w:t>
      </w:r>
    </w:p>
    <w:p>
      <w:r>
        <w:t xml:space="preserve">Obtain the actual SASO/SABER notice (or accredited-body written confirmation </w:t>
      </w:r>
      <w:r>
        <w:rPr>
          <w:b/>
        </w:rPr>
        <w:t>for the specific HS heading</w:t>
      </w:r>
      <w:r>
        <w:t>) before relying on any of these.</w:t>
      </w:r>
    </w:p>
    <w:p>
      <w:pPr>
        <w:pStyle w:val="Heading2"/>
      </w:pPr>
      <w:r>
        <w:t>Used and Specialised Commercial Vehicles</w:t>
      </w:r>
    </w:p>
    <w:p>
      <w:r>
        <w:t xml:space="preserve">Dealer guidance suggests used commercial units face age/odometer ceilings plus a </w:t>
      </w:r>
      <w:r>
        <w:rPr>
          <w:b/>
        </w:rPr>
        <w:t>home-country deregistration certificate</w:t>
      </w:r>
      <w:r>
        <w:t xml:space="preserve">, but model-specific limits were not captured from an official Saudi source — confirm them </w:t>
      </w:r>
      <w:r>
        <w:rPr>
          <w:b/>
        </w:rPr>
        <w:t>for the HS heading</w:t>
      </w:r>
      <w:r>
        <w:t xml:space="preserve"> and obtain the deregistration document. For special-purpose units (87.05) and mounted bodies, request the conformity body's document list early, since the superstructure can add its own technical-regulation scope on top of the chassis.</w:t>
      </w:r>
    </w:p>
    <w:p>
      <w:pPr>
        <w:pStyle w:val="Heading2"/>
      </w:pPr>
      <w:r>
        <w:t>What This Guide Recommends Beyond the Dealer Briefings</w:t>
      </w:r>
    </w:p>
    <w:p>
      <w:r>
        <w:t xml:space="preserve">Dealer notes blend a passenger-car process, durable rules and rumoured changes into one "Saudi truck procedure." The recommended HS-first method is to (1) fix the full HS subheading, (2) obtain the </w:t>
      </w:r>
      <w:r>
        <w:rPr>
          <w:b/>
        </w:rPr>
        <w:t>HS→technical-regulation mapping in writing</w:t>
      </w:r>
      <w:r>
        <w:t xml:space="preserve">, (3) confirm the </w:t>
      </w:r>
      <w:r>
        <w:rPr>
          <w:b/>
        </w:rPr>
        <w:t>certificate type</w:t>
      </w:r>
      <w:r>
        <w:t xml:space="preserve"> that regulation actually requires instead of assuming PCoC→SCoC, (4) read the </w:t>
      </w:r>
      <w:r>
        <w:rPr>
          <w:b/>
        </w:rPr>
        <w:t>current ZATCA tariff line for that code</w:t>
      </w:r>
      <w:r>
        <w:t xml:space="preserve"> rather than the light-vehicle 5%, and (5) keep a "reported vs officially confirmed" register for 2026 SASO changes so a plan is never built on a contradictory dealer date.</w:t>
      </w:r>
    </w:p>
    <w:p>
      <w:pPr>
        <w:pStyle w:val="Heading2"/>
      </w:pPr>
      <w:r>
        <w:t>Operating Sequence (HS-first)</w:t>
      </w:r>
    </w:p>
    <w:p>
      <w:pPr>
        <w:pStyle w:val="ListNumber"/>
      </w:pPr>
      <w:r>
        <w:t>Classify the full HS subheading (87.01 / 87.04 / 87.05 / 8716 + code) and align it to the invoice description.</w:t>
      </w:r>
    </w:p>
    <w:p>
      <w:pPr>
        <w:pStyle w:val="ListNumber"/>
      </w:pPr>
      <w:r>
        <w:t>On SABER / via an accredited body, identify the technical regulation(s) for that code — in writing.</w:t>
      </w:r>
    </w:p>
    <w:p>
      <w:pPr>
        <w:pStyle w:val="ListNumber"/>
      </w:pPr>
      <w:r>
        <w:t>Determine the required certificate type (PCoC/SCoC, other COC/QM, declaration, or vehicle-specific process) for that regulation.</w:t>
      </w:r>
    </w:p>
    <w:p>
      <w:pPr>
        <w:pStyle w:val="ListNumber"/>
      </w:pPr>
      <w:r>
        <w:t>Prepare one VIN master list; align invoice, packing list, B/L, certificate(s) and chassis plate.</w:t>
      </w:r>
    </w:p>
    <w:p>
      <w:pPr>
        <w:pStyle w:val="ListNumber"/>
      </w:pPr>
      <w:r>
        <w:t>Read the current ZATCA tariff line for the exact code; model duty + VAT on the applicable customs basis.</w:t>
      </w:r>
    </w:p>
    <w:p>
      <w:pPr>
        <w:pStyle w:val="ListNumber"/>
      </w:pPr>
      <w:r>
        <w:t xml:space="preserve">Lodge through Fasah; in parallel, obtain written confirmation of any 2026 local-approval/RDI/ADAS rule </w:t>
      </w:r>
      <w:r>
        <w:rPr>
          <w:b/>
        </w:rPr>
        <w:t>for the HS heading</w:t>
      </w:r>
      <w:r>
        <w:t>, treating an unverified "yes" as a watchlist item.</w:t>
      </w:r>
    </w:p>
    <w:p>
      <w:pPr>
        <w:pStyle w:val="ListNumber"/>
      </w:pPr>
      <w:r>
        <w:t>For used/specialised units, confirm age/mileage limits, deregistration paperwork and mounted-equipment scope.</w:t>
      </w:r>
    </w:p>
    <w:p>
      <w:pPr>
        <w:pStyle w:val="Heading2"/>
      </w:pPr>
      <w:r>
        <w:t>Before Payment — Hold Until Documented</w:t>
      </w:r>
    </w:p>
    <w:p>
      <w:pPr>
        <w:pStyle w:val="ListBullet"/>
      </w:pPr>
      <w:r>
        <w:t>Exact HS subheading fixed and used consistently.</w:t>
      </w:r>
    </w:p>
    <w:p>
      <w:pPr>
        <w:pStyle w:val="ListBullet"/>
      </w:pPr>
      <w:r>
        <w:t xml:space="preserve">HS→technical-regulation mapping and required certificate type confirmed </w:t>
      </w:r>
      <w:r>
        <w:rPr>
          <w:b/>
        </w:rPr>
        <w:t>in writing by an accredited body</w:t>
      </w:r>
      <w:r>
        <w:t xml:space="preserve"> (no assumed uniform PCoC→SCoC).</w:t>
      </w:r>
    </w:p>
    <w:p>
      <w:pPr>
        <w:pStyle w:val="ListBullet"/>
      </w:pPr>
      <w:r>
        <w:t xml:space="preserve">ZATCA tariff line read </w:t>
      </w:r>
      <w:r>
        <w:rPr>
          <w:b/>
        </w:rPr>
        <w:t>for that code</w:t>
      </w:r>
      <w:r>
        <w:t>; VAT applied to the applicable customs basis (no borrowed light-vehicle 5%).</w:t>
      </w:r>
    </w:p>
    <w:p>
      <w:pPr>
        <w:pStyle w:val="ListBullet"/>
      </w:pPr>
      <w:r>
        <w:t>VIN-consistent document set drafted against one master list.</w:t>
      </w:r>
    </w:p>
    <w:p>
      <w:pPr>
        <w:pStyle w:val="ListBullet"/>
      </w:pPr>
      <w:r>
        <w:t>Any claimed 2026 rule supported by an official SASO/ZATCA document for the heading — otherwise excluded from the plan.</w:t>
      </w:r>
    </w:p>
    <w:p>
      <w:pPr>
        <w:pStyle w:val="Heading2"/>
      </w:pPr>
      <w:r>
        <w:t>Frequently Asked Questions</w:t>
      </w:r>
    </w:p>
    <w:p>
      <w:r>
        <w:rPr>
          <w:b/>
        </w:rPr>
        <w:t>Do all Chinese trucks use SABER PCoC then SCoC?</w:t>
      </w:r>
      <w:r>
        <w:t xml:space="preserve"> Not automatically. Pin the HS code first, map it to its technical regulation, and confirm the certificate type — some commercial/special headings use a different COC/QM, declaration or vehicle-specific process.</w:t>
      </w:r>
    </w:p>
    <w:p>
      <w:r>
        <w:rPr>
          <w:b/>
        </w:rPr>
        <w:t>What duty and VAT does a commercial truck pay?</w:t>
      </w:r>
      <w:r>
        <w:t xml:space="preserve"> The often-quoted 5% + 15% comes from ZATCA's light-vehicle scope; a truck needs its exact HS tariff line and the applicable VAT basis — this article does not state a truck rate.</w:t>
      </w:r>
    </w:p>
    <w:p>
      <w:r>
        <w:rPr>
          <w:b/>
        </w:rPr>
        <w:t>Where do I start — SABER or customs?</w:t>
      </w:r>
      <w:r>
        <w:t xml:space="preserve"> Start with the HS subheading, then the SABER regulation/certificate mapping; Fasah customs comes after the correct certificate route is known.</w:t>
      </w:r>
    </w:p>
    <w:p>
      <w:r>
        <w:rPr>
          <w:b/>
        </w:rPr>
        <w:t>Did Saudi stop accepting CE/ECE for heavy trucks in 2026?</w:t>
      </w:r>
      <w:r>
        <w:t xml:space="preserve"> Dealer claims conflict on dates and lack a SASO primary source; verify officially for the HS heading before relying on them.</w:t>
      </w:r>
    </w:p>
    <w:p>
      <w:r>
        <w:rPr>
          <w:b/>
        </w:rPr>
        <w:t>What is the most common clearance failure?</w:t>
      </w:r>
      <w:r>
        <w:t xml:space="preserve"> VIN/certificate/invoice mismatch; one VIN master list across all documents prevents it.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Saudi commercial-truck import (SABER/ZATCA),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Saudi commercial-truck import (SABER/ZATCA),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Saudi commercial-truck import (SABER/ZATCA),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Saudi commercial-truck import (SABER/ZATCA),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Saudi commercial-truck import (SABER/ZATCA),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輸出バイヤー向けリファレンス｜Saudi commercial-truck import (SABER/ZATCA),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자료｜Saudi commercial-truck import (SABER/ZATCA),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Saudi commercial-truck import (SABER/ZATCA),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Saudi commercial-truck import (SABER/ZATCA),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Saudi commercial-truck import (SABER/ZATCA),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Saudi commercial-truck import (SABER/ZATCA),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出口采购参考｜Saudi commercial-truck import (SABER/ZATCA),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 (and scope)</w:t>
            </w:r>
          </w:p>
        </w:tc>
      </w:tr>
      <w:tr>
        <w:tc>
          <w:tcPr>
            <w:tcW w:type="dxa" w:w="1234"/>
          </w:tcPr>
          <w:p>
            <w:r>
              <w:t>SABER official conformity platform</w:t>
            </w:r>
          </w:p>
        </w:tc>
        <w:tc>
          <w:tcPr>
            <w:tcW w:type="dxa" w:w="1234"/>
          </w:tcPr>
          <w:p>
            <w:r>
              <w:t>SASO / Thiqah (**government platform official**)</w:t>
            </w:r>
          </w:p>
        </w:tc>
        <w:tc>
          <w:tcPr>
            <w:tcW w:type="dxa" w:w="1234"/>
          </w:tcPr>
          <w:p>
            <w:r>
              <w:t>SA</w:t>
            </w:r>
          </w:p>
        </w:tc>
        <w:tc>
          <w:tcPr>
            <w:tcW w:type="dxa" w:w="1234"/>
          </w:tcPr>
          <w:p>
            <w:r>
              <w:t>https://saber.sa/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SABER architecture; accredited-body issuance; PCoC/SCoC model for regulated products</w:t>
            </w:r>
          </w:p>
        </w:tc>
      </w:tr>
      <w:tr>
        <w:tc>
          <w:tcPr>
            <w:tcW w:type="dxa" w:w="1234"/>
          </w:tcPr>
          <w:p>
            <w:r>
              <w:t>Saudi Arabia — Standards for Trade</w:t>
            </w:r>
          </w:p>
        </w:tc>
        <w:tc>
          <w:tcPr>
            <w:tcW w:type="dxa" w:w="1234"/>
          </w:tcPr>
          <w:p>
            <w:r>
              <w:t>US International Trade Administration (**government official**)</w:t>
            </w:r>
          </w:p>
        </w:tc>
        <w:tc>
          <w:tcPr>
            <w:tcW w:type="dxa" w:w="1234"/>
          </w:tcPr>
          <w:p>
            <w:r>
              <w:t>SA/US</w:t>
            </w:r>
          </w:p>
        </w:tc>
        <w:tc>
          <w:tcPr>
            <w:tcW w:type="dxa" w:w="1234"/>
          </w:tcPr>
          <w:p>
            <w:r>
              <w:t>https://www.trade.gov/country-commercial-guides/saudi-arabia-standards-trade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SABER connects importers/accredited bodies/customs</w:t>
            </w:r>
          </w:p>
        </w:tc>
      </w:tr>
      <w:tr>
        <w:tc>
          <w:tcPr>
            <w:tcW w:type="dxa" w:w="1234"/>
          </w:tcPr>
          <w:p>
            <w:r>
              <w:t>ZATCA vehicle guidance/calculator (5% + 15%) — **light-vehicle scope only**</w:t>
            </w:r>
          </w:p>
        </w:tc>
        <w:tc>
          <w:tcPr>
            <w:tcW w:type="dxa" w:w="1234"/>
          </w:tcPr>
          <w:p>
            <w:r>
              <w:t>ZATCA via public reporting (primary: zatca.gov.sa)</w:t>
            </w:r>
          </w:p>
        </w:tc>
        <w:tc>
          <w:tcPr>
            <w:tcW w:type="dxa" w:w="1234"/>
          </w:tcPr>
          <w:p>
            <w:r>
              <w:t>SA</w:t>
            </w:r>
          </w:p>
        </w:tc>
        <w:tc>
          <w:tcPr>
            <w:tcW w:type="dxa" w:w="1234"/>
          </w:tcPr>
          <w:p>
            <w:r>
              <w:t>https://english.ajel.sa/news/f7sn5nj77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5%/15% for the calculator's applicable **light-vehicle** category; NOT asserted for truck HS headings</w:t>
            </w:r>
          </w:p>
        </w:tc>
      </w:tr>
      <w:tr>
        <w:tc>
          <w:tcPr>
            <w:tcW w:type="dxa" w:w="1234"/>
          </w:tcPr>
          <w:p>
            <w:r>
              <w:t>HS headings 87.01/87.04/87.05/8716</w:t>
            </w:r>
          </w:p>
        </w:tc>
        <w:tc>
          <w:tcPr>
            <w:tcW w:type="dxa" w:w="1234"/>
          </w:tcPr>
          <w:p>
            <w:r>
              <w:t>World Customs Organization HS nomenclature (**standards body**)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https://www.wcoomd.org/ (HS Nomenclature)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Commercial-vehicle heading boundaries used for HS-first routing</w:t>
            </w:r>
          </w:p>
        </w:tc>
      </w:tr>
      <w:tr>
        <w:tc>
          <w:tcPr>
            <w:tcW w:type="dxa" w:w="1234"/>
          </w:tcPr>
          <w:p>
            <w:r>
              <w:t>Reported SASO 2026 heavy-truck local-approval rule (conflicting dates)</w:t>
            </w:r>
          </w:p>
        </w:tc>
        <w:tc>
          <w:tcPr>
            <w:tcW w:type="dxa" w:w="1234"/>
          </w:tcPr>
          <w:p>
            <w:r>
              <w:t>SHACMAN Global (dealer)</w:t>
            </w:r>
          </w:p>
        </w:tc>
        <w:tc>
          <w:tcPr>
            <w:tcW w:type="dxa" w:w="1234"/>
          </w:tcPr>
          <w:p>
            <w:r>
              <w:t>SA</w:t>
            </w:r>
          </w:p>
        </w:tc>
        <w:tc>
          <w:tcPr>
            <w:tcW w:type="dxa" w:w="1234"/>
          </w:tcPr>
          <w:p>
            <w:r>
              <w:t>https://www.globalshacman.com/Saudi-Truck-Imports-Face-New-SASO-Local-Approval-Rule.html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Claim only; watchlist, not fact</w:t>
            </w:r>
          </w:p>
        </w:tc>
      </w:tr>
      <w:tr>
        <w:tc>
          <w:tcPr>
            <w:tcW w:type="dxa" w:w="1234"/>
          </w:tcPr>
          <w:p>
            <w:r>
              <w:t>Reported ISO 22513-2/RDI mandate</w:t>
            </w:r>
          </w:p>
        </w:tc>
        <w:tc>
          <w:tcPr>
            <w:tcW w:type="dxa" w:w="1234"/>
          </w:tcPr>
          <w:p>
            <w:r>
              <w:t>SinotruckExp (dealer)</w:t>
            </w:r>
          </w:p>
        </w:tc>
        <w:tc>
          <w:tcPr>
            <w:tcW w:type="dxa" w:w="1234"/>
          </w:tcPr>
          <w:p>
            <w:r>
              <w:t>SA</w:t>
            </w:r>
          </w:p>
        </w:tc>
        <w:tc>
          <w:tcPr>
            <w:tcW w:type="dxa" w:w="1234"/>
          </w:tcPr>
          <w:p>
            <w:r>
              <w:t>https://www.sinotruckexp.com/news/policy/Policy_Regulations/Saudi_SASO_Mandates_ISO_22513_2_RDI_for_Heavy_Trucks_from_Aug_2026.html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Claim only; watchlist, not fact</w:t>
            </w:r>
          </w:p>
        </w:tc>
      </w:tr>
    </w:tbl>
    <w:p>
      <w:r>
        <w:t>*Confidence &amp; scope note (PRIMARY_SOURCE_SCOPE_MUST_MATCH): an official source covers only its stated scope. SABER's PCoC/SCoC model is VERIFIED for regulated products but is not assumed uniform across all commercial-vehicle HS lines; the ZATCA 5%/15% is confined to its light-vehicle scope and is not a Chinese-commercial-truck tariff. The HS→regulation→certificate mapping for a specific truck must be confirmed in writing by an accredited Saudi body. 2026 local-approval/RDI/ADAS/fast-track/carbon claims remain UNVERIFIED.*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Saudi Arabia / GCC (LHD), commercial vehicles by HS heading</w:t>
      </w:r>
    </w:p>
    <w:p>
      <w:pPr>
        <w:pStyle w:val="ListBullet"/>
      </w:pPr>
      <w:r>
        <w:rPr>
          <w:b/>
        </w:rPr>
        <w:t>Verification method</w:t>
      </w:r>
      <w:r>
        <w:t>: Official platform/government + WCO HS structure; certificate type and truck tariff left to HS-specific written confirmation; dealer claims withheld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#ExportProcurement #SaudiImport #SABERCertification #CommercialTruck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